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7" w:rsidRPr="004D7103" w:rsidRDefault="0099609A" w:rsidP="0097552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D7103">
        <w:rPr>
          <w:rFonts w:ascii="Times New Roman" w:hAnsi="Times New Roman" w:cs="Times New Roman"/>
          <w:b/>
        </w:rPr>
        <w:t>RESUMEN EJECUTIVO</w:t>
      </w:r>
    </w:p>
    <w:p w:rsidR="00CC0FA4" w:rsidRPr="004D7103" w:rsidRDefault="00CC0FA4" w:rsidP="0097552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327DA3" w:rsidRDefault="00B45EDA" w:rsidP="009755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s-ES"/>
        </w:rPr>
      </w:pPr>
      <w:r w:rsidRPr="004D7103">
        <w:rPr>
          <w:rFonts w:ascii="Times New Roman" w:eastAsiaTheme="minorEastAsia" w:hAnsi="Times New Roman" w:cs="Times New Roman"/>
          <w:color w:val="000000" w:themeColor="text1"/>
          <w:lang w:val="es-BO"/>
        </w:rPr>
        <w:t xml:space="preserve">Informe </w:t>
      </w:r>
      <w:r w:rsidR="007D3615" w:rsidRPr="007D3615">
        <w:rPr>
          <w:rFonts w:ascii="Times New Roman" w:hAnsi="Times New Roman" w:cs="Times New Roman"/>
        </w:rPr>
        <w:t>REL. INF. D.A.I.</w:t>
      </w:r>
      <w:r w:rsidR="007D3615">
        <w:rPr>
          <w:rFonts w:ascii="Times New Roman" w:hAnsi="Times New Roman" w:cs="Times New Roman"/>
        </w:rPr>
        <w:t xml:space="preserve"> </w:t>
      </w:r>
      <w:r w:rsidR="00DF21CB" w:rsidRPr="004D7103">
        <w:rPr>
          <w:rFonts w:ascii="Times New Roman" w:hAnsi="Times New Roman" w:cs="Times New Roman"/>
        </w:rPr>
        <w:t xml:space="preserve">N° </w:t>
      </w:r>
      <w:r w:rsidR="007D3615">
        <w:rPr>
          <w:rFonts w:ascii="Times New Roman" w:hAnsi="Times New Roman" w:cs="Times New Roman"/>
        </w:rPr>
        <w:t>01</w:t>
      </w:r>
      <w:r w:rsidR="00DD4DE8" w:rsidRPr="004D7103">
        <w:rPr>
          <w:rFonts w:ascii="Times New Roman" w:hAnsi="Times New Roman" w:cs="Times New Roman"/>
        </w:rPr>
        <w:t>/20</w:t>
      </w:r>
      <w:r w:rsidR="007D3615">
        <w:rPr>
          <w:rFonts w:ascii="Times New Roman" w:hAnsi="Times New Roman" w:cs="Times New Roman"/>
        </w:rPr>
        <w:t>21</w:t>
      </w:r>
      <w:r w:rsidR="00DF21CB" w:rsidRPr="004D7103">
        <w:rPr>
          <w:rFonts w:ascii="Times New Roman" w:hAnsi="Times New Roman" w:cs="Times New Roman"/>
        </w:rPr>
        <w:t xml:space="preserve"> </w:t>
      </w:r>
      <w:r w:rsidR="00B71157" w:rsidRPr="004D7103">
        <w:rPr>
          <w:rFonts w:ascii="Times New Roman" w:hAnsi="Times New Roman" w:cs="Times New Roman"/>
        </w:rPr>
        <w:t>correspond</w:t>
      </w:r>
      <w:r w:rsidR="001D72E4" w:rsidRPr="004D7103">
        <w:rPr>
          <w:rFonts w:ascii="Times New Roman" w:hAnsi="Times New Roman" w:cs="Times New Roman"/>
        </w:rPr>
        <w:t>iente al</w:t>
      </w:r>
      <w:r w:rsidR="00B71157" w:rsidRPr="004D7103">
        <w:rPr>
          <w:rFonts w:ascii="Times New Roman" w:hAnsi="Times New Roman" w:cs="Times New Roman"/>
        </w:rPr>
        <w:t xml:space="preserve"> </w:t>
      </w:r>
      <w:r w:rsidR="000622AD" w:rsidRPr="000622AD">
        <w:rPr>
          <w:rFonts w:ascii="Times New Roman" w:hAnsi="Times New Roman" w:cs="Times New Roman"/>
          <w:b/>
          <w:lang w:val="es-ES_tradnl"/>
        </w:rPr>
        <w:t>INFORME DE RELEVAMIENTO DE INFORMACION DE LA “</w:t>
      </w:r>
      <w:r w:rsidR="007D3615" w:rsidRPr="007D3615">
        <w:rPr>
          <w:rFonts w:ascii="Times New Roman" w:hAnsi="Times New Roman" w:cs="Times New Roman"/>
          <w:b/>
        </w:rPr>
        <w:t>AUDITORÍA ESPECIAL A LA VENTA DE BIENES (barandas, turriles y otros) Y COLISIÓN  DE MOTORIZADOS POR LA EMPRESA MUNICIPAL DE ÁREAS VERDES SUCRE PARQUES Y FORESTACIÓN POR LAS GESTIONES</w:t>
      </w:r>
      <w:r w:rsidR="007D3615" w:rsidRPr="007D3615">
        <w:rPr>
          <w:rFonts w:ascii="Times New Roman" w:hAnsi="Times New Roman" w:cs="Times New Roman"/>
          <w:b/>
          <w:u w:val="single"/>
        </w:rPr>
        <w:t xml:space="preserve"> </w:t>
      </w:r>
      <w:r w:rsidR="007D3615" w:rsidRPr="007D3615">
        <w:rPr>
          <w:rFonts w:ascii="Times New Roman" w:hAnsi="Times New Roman" w:cs="Times New Roman"/>
          <w:b/>
        </w:rPr>
        <w:t>2015 AL</w:t>
      </w:r>
      <w:r w:rsidR="007D3615" w:rsidRPr="007D3615">
        <w:rPr>
          <w:rFonts w:ascii="Times New Roman" w:hAnsi="Times New Roman" w:cs="Times New Roman"/>
          <w:b/>
          <w:u w:val="single"/>
        </w:rPr>
        <w:t xml:space="preserve"> </w:t>
      </w:r>
      <w:r w:rsidR="007D3615" w:rsidRPr="0053104D">
        <w:rPr>
          <w:rFonts w:ascii="Times New Roman" w:hAnsi="Times New Roman" w:cs="Times New Roman"/>
          <w:b/>
        </w:rPr>
        <w:t>05 DE SEPTIEMBRE DE 2019</w:t>
      </w:r>
      <w:r w:rsidR="00DF21CB" w:rsidRPr="004D7103">
        <w:rPr>
          <w:rFonts w:ascii="Times New Roman" w:hAnsi="Times New Roman" w:cs="Times New Roman"/>
          <w:b/>
        </w:rPr>
        <w:t>”</w:t>
      </w:r>
      <w:r w:rsidR="00DF21CB" w:rsidRPr="004D7103">
        <w:rPr>
          <w:rFonts w:ascii="Times New Roman" w:eastAsia="Times New Roman" w:hAnsi="Times New Roman" w:cs="Times New Roman"/>
          <w:lang w:eastAsia="es-ES"/>
        </w:rPr>
        <w:t>,</w:t>
      </w:r>
      <w:r w:rsidR="000F1E73" w:rsidRPr="004D7103">
        <w:rPr>
          <w:rFonts w:ascii="Times New Roman" w:eastAsia="Times New Roman" w:hAnsi="Times New Roman" w:cs="Times New Roman"/>
          <w:lang w:eastAsia="es-ES"/>
        </w:rPr>
        <w:t xml:space="preserve"> </w:t>
      </w:r>
      <w:r w:rsidR="007D3615">
        <w:rPr>
          <w:rFonts w:ascii="Times New Roman" w:eastAsia="Times New Roman" w:hAnsi="Times New Roman" w:cs="Times New Roman"/>
          <w:lang w:eastAsia="es-ES"/>
        </w:rPr>
        <w:t>ejecutado e</w:t>
      </w:r>
      <w:r w:rsidR="007D3615" w:rsidRPr="007D3615">
        <w:rPr>
          <w:rFonts w:ascii="Times New Roman" w:eastAsia="Times New Roman" w:hAnsi="Times New Roman" w:cs="Times New Roman"/>
          <w:lang w:eastAsia="es-ES"/>
        </w:rPr>
        <w:t>n cumplimiento a la Comunicación Interna CITE: N° 0609/19 de fecha 12 de septiembre de 2019 emitida por</w:t>
      </w:r>
      <w:r w:rsidR="007D3615">
        <w:rPr>
          <w:rFonts w:ascii="Times New Roman" w:eastAsia="Times New Roman" w:hAnsi="Times New Roman" w:cs="Times New Roman"/>
          <w:lang w:eastAsia="es-ES"/>
        </w:rPr>
        <w:t xml:space="preserve"> el ing. </w:t>
      </w:r>
      <w:proofErr w:type="spellStart"/>
      <w:r w:rsidR="007D3615">
        <w:rPr>
          <w:rFonts w:ascii="Times New Roman" w:eastAsia="Times New Roman" w:hAnsi="Times New Roman" w:cs="Times New Roman"/>
          <w:lang w:eastAsia="es-ES"/>
        </w:rPr>
        <w:t>Ph</w:t>
      </w:r>
      <w:proofErr w:type="spellEnd"/>
      <w:r w:rsidR="007D3615">
        <w:rPr>
          <w:rFonts w:ascii="Times New Roman" w:eastAsia="Times New Roman" w:hAnsi="Times New Roman" w:cs="Times New Roman"/>
          <w:lang w:eastAsia="es-ES"/>
        </w:rPr>
        <w:t xml:space="preserve">. D. Iván </w:t>
      </w:r>
      <w:proofErr w:type="spellStart"/>
      <w:r w:rsidR="007D3615">
        <w:rPr>
          <w:rFonts w:ascii="Times New Roman" w:eastAsia="Times New Roman" w:hAnsi="Times New Roman" w:cs="Times New Roman"/>
          <w:lang w:eastAsia="es-ES"/>
        </w:rPr>
        <w:t>Arciénega</w:t>
      </w:r>
      <w:proofErr w:type="spellEnd"/>
      <w:r w:rsidR="007D3615">
        <w:rPr>
          <w:rFonts w:ascii="Times New Roman" w:eastAsia="Times New Roman" w:hAnsi="Times New Roman" w:cs="Times New Roman"/>
          <w:lang w:eastAsia="es-ES"/>
        </w:rPr>
        <w:t xml:space="preserve"> C</w:t>
      </w:r>
      <w:r w:rsidR="007D3615" w:rsidRPr="007D3615">
        <w:rPr>
          <w:rFonts w:ascii="Times New Roman" w:eastAsia="Times New Roman" w:hAnsi="Times New Roman" w:cs="Times New Roman"/>
          <w:lang w:eastAsia="es-ES"/>
        </w:rPr>
        <w:t>ollazos Alcalde del Gobierno Autónomo Municipal de Sucre</w:t>
      </w:r>
      <w:r w:rsidR="007D3615">
        <w:rPr>
          <w:rFonts w:ascii="Times New Roman" w:eastAsia="Times New Roman" w:hAnsi="Times New Roman" w:cs="Times New Roman"/>
          <w:lang w:eastAsia="es-ES"/>
        </w:rPr>
        <w:t xml:space="preserve"> </w:t>
      </w:r>
      <w:r w:rsidR="007D3615" w:rsidRPr="007D3615">
        <w:rPr>
          <w:rFonts w:ascii="Times New Roman" w:eastAsia="Times New Roman" w:hAnsi="Times New Roman" w:cs="Times New Roman"/>
          <w:lang w:eastAsia="es-ES"/>
        </w:rPr>
        <w:t xml:space="preserve">y Comunicación Interna Cite N° 184/2019 de fecha 23 de septiembre de 2019 de la Dirección de Auditoria Interna a la Lic. Carla Andrea Pérez </w:t>
      </w:r>
      <w:proofErr w:type="spellStart"/>
      <w:r w:rsidR="007D3615" w:rsidRPr="007D3615">
        <w:rPr>
          <w:rFonts w:ascii="Times New Roman" w:eastAsia="Times New Roman" w:hAnsi="Times New Roman" w:cs="Times New Roman"/>
          <w:lang w:eastAsia="es-ES"/>
        </w:rPr>
        <w:t>Revollo</w:t>
      </w:r>
      <w:proofErr w:type="spellEnd"/>
      <w:r w:rsidR="007D3615" w:rsidRPr="007D3615">
        <w:rPr>
          <w:rFonts w:ascii="Times New Roman" w:eastAsia="Times New Roman" w:hAnsi="Times New Roman" w:cs="Times New Roman"/>
          <w:lang w:eastAsia="es-ES"/>
        </w:rPr>
        <w:t xml:space="preserve"> PROFESIONAL AUDITORA</w:t>
      </w:r>
      <w:r w:rsidR="007D3615" w:rsidRPr="007D3615">
        <w:rPr>
          <w:rFonts w:ascii="Times New Roman" w:eastAsia="Times New Roman" w:hAnsi="Times New Roman" w:cs="Times New Roman"/>
          <w:b/>
          <w:lang w:eastAsia="es-ES"/>
        </w:rPr>
        <w:t xml:space="preserve">. </w:t>
      </w:r>
      <w:r w:rsidR="007D3615" w:rsidRPr="007D3615">
        <w:rPr>
          <w:rFonts w:ascii="Times New Roman" w:eastAsia="Times New Roman" w:hAnsi="Times New Roman" w:cs="Times New Roman"/>
          <w:lang w:eastAsia="es-ES"/>
        </w:rPr>
        <w:t xml:space="preserve">Cabe señalar que dicha auditoria se reasignó e instruyó la conclusión de la misma en fecha 10 de noviembre del 2020 con el </w:t>
      </w:r>
      <w:proofErr w:type="spellStart"/>
      <w:r w:rsidR="007D3615" w:rsidRPr="007D3615">
        <w:rPr>
          <w:rFonts w:ascii="Times New Roman" w:eastAsia="Times New Roman" w:hAnsi="Times New Roman" w:cs="Times New Roman"/>
          <w:lang w:eastAsia="es-ES"/>
        </w:rPr>
        <w:t>Memorandum</w:t>
      </w:r>
      <w:proofErr w:type="spellEnd"/>
      <w:r w:rsidR="007D3615" w:rsidRPr="007D3615">
        <w:rPr>
          <w:rFonts w:ascii="Times New Roman" w:eastAsia="Times New Roman" w:hAnsi="Times New Roman" w:cs="Times New Roman"/>
          <w:lang w:eastAsia="es-ES"/>
        </w:rPr>
        <w:t xml:space="preserve"> MR-GAMS-DAI 74/2020 como auditoría No Programada en el POA 2019, emergente de la RESOLUCION AUTONOMICA MUNICIPAL DEL HONORABLE CONCEJO MUNICIPAL DE SUCRE N° 376/19 de fecha 05 de septiembre de 2019</w:t>
      </w:r>
      <w:r w:rsidR="007D3615">
        <w:rPr>
          <w:rFonts w:ascii="Times New Roman" w:eastAsia="Times New Roman" w:hAnsi="Times New Roman" w:cs="Times New Roman"/>
          <w:lang w:eastAsia="es-ES"/>
        </w:rPr>
        <w:t>.</w:t>
      </w:r>
    </w:p>
    <w:p w:rsidR="007D3615" w:rsidRPr="007D3615" w:rsidRDefault="007D3615" w:rsidP="0097552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99609A" w:rsidRPr="004D7103" w:rsidRDefault="0099609A" w:rsidP="00975529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4D7103">
        <w:rPr>
          <w:rFonts w:ascii="Times New Roman" w:hAnsi="Times New Roman" w:cs="Times New Roman"/>
          <w:b/>
        </w:rPr>
        <w:t>Objetivo</w:t>
      </w:r>
    </w:p>
    <w:p w:rsidR="00CC0FA4" w:rsidRPr="004D7103" w:rsidRDefault="00CC0FA4" w:rsidP="00975529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0622AD" w:rsidRDefault="007D3615" w:rsidP="00975529">
      <w:pPr>
        <w:tabs>
          <w:tab w:val="left" w:pos="-2410"/>
          <w:tab w:val="left" w:pos="-1701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D3615">
        <w:rPr>
          <w:rFonts w:ascii="Times New Roman" w:hAnsi="Times New Roman" w:cs="Times New Roman"/>
          <w:color w:val="000000" w:themeColor="text1"/>
        </w:rPr>
        <w:t xml:space="preserve">El objetivo del Relevamiento de Información Específica es recopilar y evaluar la información, a fin de identificar hallazgos relevantes para determinar la </w:t>
      </w:r>
      <w:r w:rsidRPr="007D3615">
        <w:rPr>
          <w:rFonts w:ascii="Times New Roman" w:hAnsi="Times New Roman" w:cs="Times New Roman"/>
          <w:b/>
          <w:color w:val="000000" w:themeColor="text1"/>
        </w:rPr>
        <w:t>AUDITABILIDAD</w:t>
      </w:r>
      <w:r w:rsidRPr="007D3615">
        <w:rPr>
          <w:rFonts w:ascii="Times New Roman" w:hAnsi="Times New Roman" w:cs="Times New Roman"/>
          <w:color w:val="000000" w:themeColor="text1"/>
        </w:rPr>
        <w:t xml:space="preserve"> de la Venta de Bienes (barandas, turriles y otros) y de la Colisión de Motorizados por la Empresa Municipal de Áreas Verdes Sucre Parques y Forestación desde la gestión 2015 hasta el 01 de octubre del 2020.</w:t>
      </w:r>
    </w:p>
    <w:p w:rsidR="007D3615" w:rsidRPr="00C1799A" w:rsidRDefault="007D3615" w:rsidP="00975529">
      <w:pPr>
        <w:tabs>
          <w:tab w:val="left" w:pos="-2410"/>
          <w:tab w:val="left" w:pos="-170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s-BO" w:eastAsia="es-BO"/>
        </w:rPr>
      </w:pPr>
    </w:p>
    <w:p w:rsidR="0099609A" w:rsidRDefault="0099609A" w:rsidP="00975529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AB22D1">
        <w:rPr>
          <w:rFonts w:ascii="Times New Roman" w:hAnsi="Times New Roman" w:cs="Times New Roman"/>
          <w:b/>
        </w:rPr>
        <w:t xml:space="preserve">Objeto </w:t>
      </w:r>
    </w:p>
    <w:p w:rsidR="007D3615" w:rsidRPr="00AB22D1" w:rsidRDefault="007D3615" w:rsidP="00975529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7D3615" w:rsidRPr="007D3615" w:rsidRDefault="007D3615" w:rsidP="007D361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7D3615">
        <w:rPr>
          <w:rFonts w:ascii="Times New Roman" w:hAnsi="Times New Roman" w:cs="Times New Roman"/>
        </w:rPr>
        <w:t>El objeto del examen</w:t>
      </w:r>
      <w:r w:rsidRPr="007D3615">
        <w:rPr>
          <w:rFonts w:ascii="Times New Roman" w:hAnsi="Times New Roman" w:cs="Times New Roman"/>
          <w:lang w:val="es-ES_tradnl"/>
        </w:rPr>
        <w:t>, consiste en la recopilación, revisión y evaluación de la documentación</w:t>
      </w:r>
      <w:r w:rsidRPr="007D3615">
        <w:rPr>
          <w:rFonts w:ascii="Times New Roman" w:hAnsi="Times New Roman" w:cs="Times New Roman"/>
        </w:rPr>
        <w:t xml:space="preserve"> proporcionada por la Empresa Municipal de Áreas Verdes Sucre – Parques y Forestación, con relación a: </w:t>
      </w:r>
    </w:p>
    <w:p w:rsidR="007D3615" w:rsidRPr="007D3615" w:rsidRDefault="007D3615" w:rsidP="007D361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D3615">
        <w:rPr>
          <w:rFonts w:ascii="Times New Roman" w:hAnsi="Times New Roman" w:cs="Times New Roman"/>
        </w:rPr>
        <w:t>Venta de Bienes, (Turriles, barandas y otros):</w:t>
      </w:r>
    </w:p>
    <w:p w:rsidR="007D3615" w:rsidRPr="007D3615" w:rsidRDefault="007D3615" w:rsidP="007D361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D3615">
        <w:rPr>
          <w:rFonts w:ascii="Times New Roman" w:hAnsi="Times New Roman" w:cs="Times New Roman"/>
        </w:rPr>
        <w:t>Registro de ventas por gestión</w:t>
      </w:r>
    </w:p>
    <w:p w:rsidR="007D3615" w:rsidRPr="007D3615" w:rsidRDefault="007D3615" w:rsidP="007D361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D3615">
        <w:rPr>
          <w:rFonts w:ascii="Times New Roman" w:hAnsi="Times New Roman" w:cs="Times New Roman"/>
        </w:rPr>
        <w:t>Detalle de los materiales vendidos.</w:t>
      </w:r>
    </w:p>
    <w:p w:rsidR="007D3615" w:rsidRPr="007D3615" w:rsidRDefault="007D3615" w:rsidP="007D361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D3615">
        <w:rPr>
          <w:rFonts w:ascii="Times New Roman" w:hAnsi="Times New Roman" w:cs="Times New Roman"/>
        </w:rPr>
        <w:t>Colisión de Vehículos</w:t>
      </w:r>
    </w:p>
    <w:p w:rsidR="007D3615" w:rsidRPr="007D3615" w:rsidRDefault="007D3615" w:rsidP="007D361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D3615">
        <w:rPr>
          <w:rFonts w:ascii="Times New Roman" w:hAnsi="Times New Roman" w:cs="Times New Roman"/>
        </w:rPr>
        <w:t>Detalle de Vehículos de EMAVS-PF, 2015-2019</w:t>
      </w:r>
    </w:p>
    <w:p w:rsidR="007D3615" w:rsidRPr="007D3615" w:rsidRDefault="007D3615" w:rsidP="007D361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D3615">
        <w:rPr>
          <w:rFonts w:ascii="Times New Roman" w:hAnsi="Times New Roman" w:cs="Times New Roman"/>
        </w:rPr>
        <w:t>Pólizas de Seguros, 2015-2019</w:t>
      </w:r>
    </w:p>
    <w:p w:rsidR="007D3615" w:rsidRPr="007D3615" w:rsidRDefault="007D3615" w:rsidP="007D361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D3615">
        <w:rPr>
          <w:rFonts w:ascii="Times New Roman" w:hAnsi="Times New Roman" w:cs="Times New Roman"/>
        </w:rPr>
        <w:t>Reportes de Colisiones, gestión 2015-2019</w:t>
      </w:r>
    </w:p>
    <w:p w:rsidR="007D3615" w:rsidRPr="007D3615" w:rsidRDefault="007D3615" w:rsidP="007D3615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7D3615">
        <w:rPr>
          <w:rFonts w:ascii="Times New Roman" w:hAnsi="Times New Roman" w:cs="Times New Roman"/>
        </w:rPr>
        <w:t>Toda otra documentación relacionada con el presente examen.</w:t>
      </w:r>
    </w:p>
    <w:p w:rsidR="000622AD" w:rsidRDefault="000622AD" w:rsidP="007D3615">
      <w:pPr>
        <w:tabs>
          <w:tab w:val="left" w:pos="-2410"/>
          <w:tab w:val="left" w:pos="-17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9609A" w:rsidRPr="00AB22D1" w:rsidRDefault="00CC0FA4" w:rsidP="00975529">
      <w:pPr>
        <w:tabs>
          <w:tab w:val="left" w:pos="-2410"/>
          <w:tab w:val="left" w:pos="-1701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AB22D1">
        <w:rPr>
          <w:rFonts w:ascii="Times New Roman" w:hAnsi="Times New Roman" w:cs="Times New Roman"/>
          <w:b/>
        </w:rPr>
        <w:t>Conclusión</w:t>
      </w:r>
    </w:p>
    <w:p w:rsidR="000E0853" w:rsidRPr="00AB22D1" w:rsidRDefault="000E0853" w:rsidP="00975529">
      <w:pPr>
        <w:tabs>
          <w:tab w:val="left" w:pos="-2410"/>
          <w:tab w:val="left" w:pos="-170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7D3615" w:rsidRDefault="007D3615" w:rsidP="00E06B78">
      <w:pPr>
        <w:pStyle w:val="Prrafode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s-ES"/>
        </w:rPr>
      </w:pPr>
      <w:r w:rsidRPr="007D3615">
        <w:rPr>
          <w:rFonts w:ascii="Times New Roman" w:eastAsia="Times New Roman" w:hAnsi="Times New Roman" w:cs="Times New Roman"/>
          <w:lang w:eastAsia="es-ES"/>
        </w:rPr>
        <w:t xml:space="preserve">Como resultado del </w:t>
      </w:r>
      <w:r w:rsidRPr="007D3615">
        <w:rPr>
          <w:rFonts w:ascii="Times New Roman" w:eastAsia="Times New Roman" w:hAnsi="Times New Roman" w:cs="Times New Roman"/>
          <w:b/>
          <w:lang w:eastAsia="es-ES"/>
        </w:rPr>
        <w:t>Relevamiento de Información Específica</w:t>
      </w:r>
      <w:r w:rsidRPr="007D3615">
        <w:rPr>
          <w:rFonts w:ascii="Times New Roman" w:eastAsia="Times New Roman" w:hAnsi="Times New Roman" w:cs="Times New Roman"/>
          <w:lang w:eastAsia="es-ES"/>
        </w:rPr>
        <w:t xml:space="preserve"> de la </w:t>
      </w:r>
      <w:r w:rsidRPr="007D3615">
        <w:rPr>
          <w:rFonts w:ascii="Times New Roman" w:eastAsia="Times New Roman" w:hAnsi="Times New Roman" w:cs="Times New Roman"/>
          <w:b/>
          <w:lang w:eastAsia="es-ES"/>
        </w:rPr>
        <w:t xml:space="preserve"> “Auditoría Especial a la Venta de Bienes (barandas, turriles y otros) y Colisión de Motorizados por la Empresa Municipal de Áreas Verdes Sucre Parques y Forestación por las gestiones 2015 a 05 de septiembre de 2019</w:t>
      </w:r>
      <w:r w:rsidRPr="007D3615">
        <w:rPr>
          <w:rFonts w:ascii="Times New Roman" w:eastAsia="Times New Roman" w:hAnsi="Times New Roman" w:cs="Times New Roman"/>
          <w:lang w:eastAsia="es-ES"/>
        </w:rPr>
        <w:t>”, se concluye que:</w:t>
      </w:r>
    </w:p>
    <w:p w:rsidR="00E06B78" w:rsidRPr="007D3615" w:rsidRDefault="00E06B78" w:rsidP="00E06B78">
      <w:pPr>
        <w:pStyle w:val="Prrafode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s-ES"/>
        </w:rPr>
      </w:pPr>
    </w:p>
    <w:p w:rsidR="007D3615" w:rsidRPr="007D3615" w:rsidRDefault="007D3615" w:rsidP="00E06B7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7D3615">
        <w:rPr>
          <w:rFonts w:ascii="Times New Roman" w:eastAsia="Times New Roman" w:hAnsi="Times New Roman" w:cs="Times New Roman"/>
          <w:lang w:eastAsia="es-ES"/>
        </w:rPr>
        <w:t>La Empresa Municipal de Áreas Verdes no cuenta con un Reglamento o Manual de Procesos y procedimientos que cuente con un análisis técnico legal para la administración de los recursos percibidos por la venta de bienes.</w:t>
      </w:r>
    </w:p>
    <w:p w:rsidR="007D3615" w:rsidRPr="007D3615" w:rsidRDefault="007D3615" w:rsidP="00E06B7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7D3615">
        <w:rPr>
          <w:rFonts w:ascii="Times New Roman" w:eastAsia="Times New Roman" w:hAnsi="Times New Roman" w:cs="Times New Roman"/>
          <w:lang w:val="es-MX" w:eastAsia="es-ES"/>
        </w:rPr>
        <w:t xml:space="preserve">En relación a la </w:t>
      </w:r>
      <w:r w:rsidRPr="007D3615">
        <w:rPr>
          <w:rFonts w:ascii="Times New Roman" w:eastAsia="Times New Roman" w:hAnsi="Times New Roman" w:cs="Times New Roman"/>
          <w:b/>
          <w:lang w:val="es-MX" w:eastAsia="es-ES"/>
        </w:rPr>
        <w:t>Colisión de Motorizados,</w:t>
      </w:r>
      <w:r w:rsidRPr="007D3615">
        <w:rPr>
          <w:rFonts w:ascii="Times New Roman" w:eastAsia="Times New Roman" w:hAnsi="Times New Roman" w:cs="Times New Roman"/>
          <w:b/>
          <w:i/>
          <w:lang w:val="es-MX" w:eastAsia="es-ES"/>
        </w:rPr>
        <w:t xml:space="preserve"> </w:t>
      </w:r>
      <w:r w:rsidRPr="007D3615">
        <w:rPr>
          <w:rFonts w:ascii="Times New Roman" w:eastAsia="Times New Roman" w:hAnsi="Times New Roman" w:cs="Times New Roman"/>
          <w:lang w:val="es-MX" w:eastAsia="es-ES"/>
        </w:rPr>
        <w:t xml:space="preserve">Camioneta Mitsubishi L200 con Placa de Control 2285-HND, se tiene un proceso administrativo seguido en contra del señor Adrián Vásquez Miranda Portero de EMAVS-PF por no cumplir con el resguardo de las llaves de las movilidades que quedan a su cargo, por otro lado se ha iniciado un proceso penal ante el Ministerio Público iniciado por la Empresa Municipal de Áreas Verdes, seguido en contra de </w:t>
      </w:r>
      <w:proofErr w:type="spellStart"/>
      <w:r w:rsidRPr="007D3615">
        <w:rPr>
          <w:rFonts w:ascii="Times New Roman" w:eastAsia="Times New Roman" w:hAnsi="Times New Roman" w:cs="Times New Roman"/>
          <w:lang w:val="es-MX" w:eastAsia="es-ES"/>
        </w:rPr>
        <w:t>Elson</w:t>
      </w:r>
      <w:proofErr w:type="spellEnd"/>
      <w:r w:rsidRPr="007D3615">
        <w:rPr>
          <w:rFonts w:ascii="Times New Roman" w:eastAsia="Times New Roman" w:hAnsi="Times New Roman" w:cs="Times New Roman"/>
          <w:lang w:val="es-MX" w:eastAsia="es-ES"/>
        </w:rPr>
        <w:t xml:space="preserve"> Vásquez </w:t>
      </w:r>
      <w:proofErr w:type="spellStart"/>
      <w:r w:rsidRPr="007D3615">
        <w:rPr>
          <w:rFonts w:ascii="Times New Roman" w:eastAsia="Times New Roman" w:hAnsi="Times New Roman" w:cs="Times New Roman"/>
          <w:lang w:val="es-MX" w:eastAsia="es-ES"/>
        </w:rPr>
        <w:t>Solíz</w:t>
      </w:r>
      <w:proofErr w:type="spellEnd"/>
      <w:r w:rsidRPr="007D3615">
        <w:rPr>
          <w:rFonts w:ascii="Times New Roman" w:eastAsia="Times New Roman" w:hAnsi="Times New Roman" w:cs="Times New Roman"/>
          <w:lang w:val="es-MX" w:eastAsia="es-ES"/>
        </w:rPr>
        <w:t xml:space="preserve"> hijo del portero, por el delito de </w:t>
      </w:r>
      <w:r w:rsidRPr="007D3615">
        <w:rPr>
          <w:rFonts w:ascii="Times New Roman" w:eastAsia="Times New Roman" w:hAnsi="Times New Roman" w:cs="Times New Roman"/>
          <w:lang w:eastAsia="es-ES"/>
        </w:rPr>
        <w:t xml:space="preserve">CONDUCCIÓN PELIGROSA DE VEHÍCULO (Art. 210 del C.P.), HURTO (Art. 326 del C.P.). demostrando que la Empresa </w:t>
      </w:r>
      <w:r w:rsidRPr="007D3615">
        <w:rPr>
          <w:rFonts w:ascii="Times New Roman" w:eastAsia="Times New Roman" w:hAnsi="Times New Roman" w:cs="Times New Roman"/>
          <w:lang w:eastAsia="es-ES"/>
        </w:rPr>
        <w:lastRenderedPageBreak/>
        <w:t xml:space="preserve">Municipal de Áreas Verdes no cuenta con un Reglamento para el uso de los Motorizados de propiedad de EMAVS-PF. </w:t>
      </w:r>
    </w:p>
    <w:p w:rsidR="007D3615" w:rsidRPr="007D3615" w:rsidRDefault="007D3615" w:rsidP="00E06B7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7D3615">
        <w:rPr>
          <w:rFonts w:ascii="Times New Roman" w:eastAsia="Times New Roman" w:hAnsi="Times New Roman" w:cs="Times New Roman"/>
          <w:lang w:eastAsia="es-ES"/>
        </w:rPr>
        <w:t xml:space="preserve">En consecuencia habiéndose identificado hallazgos relevantes correspondiente a la Venta de Bienes (barandas, turriles y otros) y de la Colisión de Motorizados por la Empresa Municipal de Áreas Verdes Sucre Parques y Forestación desde las gestiones 2015 al 01 de octubre del 2020 </w:t>
      </w:r>
      <w:bookmarkStart w:id="1" w:name="_Toc25754036"/>
      <w:r w:rsidRPr="007D3615">
        <w:rPr>
          <w:rFonts w:ascii="Times New Roman" w:eastAsia="Times New Roman" w:hAnsi="Times New Roman" w:cs="Times New Roman"/>
          <w:lang w:val="es-ES_tradnl" w:eastAsia="es-ES"/>
        </w:rPr>
        <w:t xml:space="preserve">se concluye que </w:t>
      </w:r>
      <w:r w:rsidRPr="007D3615">
        <w:rPr>
          <w:rFonts w:ascii="Times New Roman" w:eastAsia="Times New Roman" w:hAnsi="Times New Roman" w:cs="Times New Roman"/>
          <w:b/>
          <w:lang w:val="es-ES_tradnl" w:eastAsia="es-ES"/>
        </w:rPr>
        <w:t>corresponde</w:t>
      </w:r>
      <w:r w:rsidRPr="007D3615">
        <w:rPr>
          <w:rFonts w:ascii="Times New Roman" w:eastAsia="Times New Roman" w:hAnsi="Times New Roman" w:cs="Times New Roman"/>
          <w:lang w:val="es-ES_tradnl" w:eastAsia="es-ES"/>
        </w:rPr>
        <w:t xml:space="preserve"> su </w:t>
      </w:r>
      <w:r w:rsidRPr="007D3615">
        <w:rPr>
          <w:rFonts w:ascii="Times New Roman" w:eastAsia="Times New Roman" w:hAnsi="Times New Roman" w:cs="Times New Roman"/>
          <w:b/>
          <w:lang w:val="es-ES_tradnl" w:eastAsia="es-ES"/>
        </w:rPr>
        <w:t xml:space="preserve">AUDITABILIDAD, </w:t>
      </w:r>
      <w:r w:rsidRPr="007D3615">
        <w:rPr>
          <w:rFonts w:ascii="Times New Roman" w:eastAsia="Times New Roman" w:hAnsi="Times New Roman" w:cs="Times New Roman"/>
          <w:lang w:val="es-ES_tradnl" w:eastAsia="es-ES"/>
        </w:rPr>
        <w:t>desarrollando los respectivos procedimientos para su ejecución y la emisión de informes que correspondan.</w:t>
      </w:r>
      <w:bookmarkEnd w:id="1"/>
    </w:p>
    <w:p w:rsidR="004D7103" w:rsidRDefault="004D7103" w:rsidP="00975529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A8607F" w:rsidRPr="00C1799A" w:rsidRDefault="00A8607F" w:rsidP="0097552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</w:rPr>
      </w:pPr>
    </w:p>
    <w:p w:rsidR="000B1EB3" w:rsidRPr="00AB22D1" w:rsidRDefault="000B1EB3" w:rsidP="00975529">
      <w:pPr>
        <w:pStyle w:val="Prrafodelista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  <w:r w:rsidRPr="00AB22D1">
        <w:rPr>
          <w:rFonts w:ascii="Times New Roman" w:hAnsi="Times New Roman" w:cs="Times New Roman"/>
        </w:rPr>
        <w:t xml:space="preserve">Sucre, </w:t>
      </w:r>
      <w:r w:rsidR="007D3615">
        <w:rPr>
          <w:rFonts w:ascii="Times New Roman" w:hAnsi="Times New Roman" w:cs="Times New Roman"/>
        </w:rPr>
        <w:t>Enero</w:t>
      </w:r>
      <w:r w:rsidR="00AB22D1" w:rsidRPr="00AB22D1">
        <w:rPr>
          <w:rFonts w:ascii="Times New Roman" w:hAnsi="Times New Roman" w:cs="Times New Roman"/>
        </w:rPr>
        <w:t xml:space="preserve"> </w:t>
      </w:r>
      <w:r w:rsidR="006728C1" w:rsidRPr="00AB22D1">
        <w:rPr>
          <w:rFonts w:ascii="Times New Roman" w:hAnsi="Times New Roman" w:cs="Times New Roman"/>
        </w:rPr>
        <w:t xml:space="preserve">de </w:t>
      </w:r>
      <w:r w:rsidR="007D3615">
        <w:rPr>
          <w:rFonts w:ascii="Times New Roman" w:hAnsi="Times New Roman" w:cs="Times New Roman"/>
        </w:rPr>
        <w:t>2021</w:t>
      </w:r>
      <w:r w:rsidR="00CC0FA4" w:rsidRPr="00AB22D1">
        <w:rPr>
          <w:rFonts w:ascii="Times New Roman" w:hAnsi="Times New Roman" w:cs="Times New Roman"/>
        </w:rPr>
        <w:t>.</w:t>
      </w:r>
    </w:p>
    <w:sectPr w:rsidR="000B1EB3" w:rsidRPr="00AB22D1" w:rsidSect="00E06B78">
      <w:pgSz w:w="12240" w:h="18720" w:code="41"/>
      <w:pgMar w:top="326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EF" w:rsidRDefault="001C0DEF" w:rsidP="00A8607F">
      <w:pPr>
        <w:spacing w:after="0" w:line="240" w:lineRule="auto"/>
      </w:pPr>
      <w:r>
        <w:separator/>
      </w:r>
    </w:p>
  </w:endnote>
  <w:endnote w:type="continuationSeparator" w:id="0">
    <w:p w:rsidR="001C0DEF" w:rsidRDefault="001C0DEF" w:rsidP="00A8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EF" w:rsidRDefault="001C0DEF" w:rsidP="00A8607F">
      <w:pPr>
        <w:spacing w:after="0" w:line="240" w:lineRule="auto"/>
      </w:pPr>
      <w:r>
        <w:separator/>
      </w:r>
    </w:p>
  </w:footnote>
  <w:footnote w:type="continuationSeparator" w:id="0">
    <w:p w:rsidR="001C0DEF" w:rsidRDefault="001C0DEF" w:rsidP="00A8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FC6"/>
    <w:multiLevelType w:val="multilevel"/>
    <w:tmpl w:val="36B6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F420D0"/>
    <w:multiLevelType w:val="hybridMultilevel"/>
    <w:tmpl w:val="594629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9AA"/>
    <w:multiLevelType w:val="hybridMultilevel"/>
    <w:tmpl w:val="C4D822F6"/>
    <w:lvl w:ilvl="0" w:tplc="A2064F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1173"/>
    <w:multiLevelType w:val="hybridMultilevel"/>
    <w:tmpl w:val="56DEEA2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324E1"/>
    <w:multiLevelType w:val="hybridMultilevel"/>
    <w:tmpl w:val="1BA2A0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A429FD"/>
    <w:multiLevelType w:val="hybridMultilevel"/>
    <w:tmpl w:val="32DA1ED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F43ADF"/>
    <w:multiLevelType w:val="hybridMultilevel"/>
    <w:tmpl w:val="285A73FC"/>
    <w:lvl w:ilvl="0" w:tplc="0D7A5C3C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AF64C8C"/>
    <w:multiLevelType w:val="multilevel"/>
    <w:tmpl w:val="66508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2775F21"/>
    <w:multiLevelType w:val="hybridMultilevel"/>
    <w:tmpl w:val="6C300A18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53442B60"/>
    <w:multiLevelType w:val="multilevel"/>
    <w:tmpl w:val="66508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49F0FD2"/>
    <w:multiLevelType w:val="multilevel"/>
    <w:tmpl w:val="66508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95C7A5F"/>
    <w:multiLevelType w:val="hybridMultilevel"/>
    <w:tmpl w:val="B6463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05BBA"/>
    <w:multiLevelType w:val="hybridMultilevel"/>
    <w:tmpl w:val="8402BBF6"/>
    <w:lvl w:ilvl="0" w:tplc="62C0CE7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sz w:val="32"/>
        <w:szCs w:val="2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C1920"/>
    <w:multiLevelType w:val="multilevel"/>
    <w:tmpl w:val="6F86E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A71457D"/>
    <w:multiLevelType w:val="hybridMultilevel"/>
    <w:tmpl w:val="11B48D76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19D8"/>
    <w:multiLevelType w:val="multilevel"/>
    <w:tmpl w:val="B49A2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A851E2"/>
    <w:multiLevelType w:val="hybridMultilevel"/>
    <w:tmpl w:val="BE0C61CC"/>
    <w:lvl w:ilvl="0" w:tplc="5FF821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3658"/>
    <w:multiLevelType w:val="hybridMultilevel"/>
    <w:tmpl w:val="15D4D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01C2"/>
    <w:multiLevelType w:val="hybridMultilevel"/>
    <w:tmpl w:val="3E70C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18"/>
  </w:num>
  <w:num w:numId="15">
    <w:abstractNumId w:val="8"/>
  </w:num>
  <w:num w:numId="16">
    <w:abstractNumId w:val="15"/>
  </w:num>
  <w:num w:numId="17">
    <w:abstractNumId w:val="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A"/>
    <w:rsid w:val="00050FE5"/>
    <w:rsid w:val="000622AD"/>
    <w:rsid w:val="000B1EB3"/>
    <w:rsid w:val="000C099A"/>
    <w:rsid w:val="000E0853"/>
    <w:rsid w:val="000F1D63"/>
    <w:rsid w:val="000F1E73"/>
    <w:rsid w:val="001040A2"/>
    <w:rsid w:val="001A7910"/>
    <w:rsid w:val="001C0DEF"/>
    <w:rsid w:val="001D72E4"/>
    <w:rsid w:val="00233648"/>
    <w:rsid w:val="00286316"/>
    <w:rsid w:val="00327DA3"/>
    <w:rsid w:val="00422ADA"/>
    <w:rsid w:val="00464FFF"/>
    <w:rsid w:val="004D7103"/>
    <w:rsid w:val="004E0A1A"/>
    <w:rsid w:val="004E3DBE"/>
    <w:rsid w:val="0053104D"/>
    <w:rsid w:val="00553DA5"/>
    <w:rsid w:val="006333F5"/>
    <w:rsid w:val="0064375A"/>
    <w:rsid w:val="006728C1"/>
    <w:rsid w:val="006B79D4"/>
    <w:rsid w:val="006E556C"/>
    <w:rsid w:val="006F65D5"/>
    <w:rsid w:val="007D3615"/>
    <w:rsid w:val="00807243"/>
    <w:rsid w:val="008144CB"/>
    <w:rsid w:val="00897291"/>
    <w:rsid w:val="008B137E"/>
    <w:rsid w:val="00906010"/>
    <w:rsid w:val="009414D0"/>
    <w:rsid w:val="00975529"/>
    <w:rsid w:val="00984AC1"/>
    <w:rsid w:val="0099609A"/>
    <w:rsid w:val="009C2FAD"/>
    <w:rsid w:val="009E6A9C"/>
    <w:rsid w:val="00A02EA2"/>
    <w:rsid w:val="00A8607F"/>
    <w:rsid w:val="00AB22D1"/>
    <w:rsid w:val="00AD3079"/>
    <w:rsid w:val="00AD7AB7"/>
    <w:rsid w:val="00B45EDA"/>
    <w:rsid w:val="00B71157"/>
    <w:rsid w:val="00BE4FAC"/>
    <w:rsid w:val="00C1799A"/>
    <w:rsid w:val="00C52B71"/>
    <w:rsid w:val="00C815E7"/>
    <w:rsid w:val="00CC0FA4"/>
    <w:rsid w:val="00D346B8"/>
    <w:rsid w:val="00D606A5"/>
    <w:rsid w:val="00D82AE9"/>
    <w:rsid w:val="00DC3AA1"/>
    <w:rsid w:val="00DD4DE8"/>
    <w:rsid w:val="00DF21CB"/>
    <w:rsid w:val="00E06B78"/>
    <w:rsid w:val="00E5717E"/>
    <w:rsid w:val="00E82957"/>
    <w:rsid w:val="00F34D01"/>
    <w:rsid w:val="00FA2711"/>
    <w:rsid w:val="00FB0EE0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basedOn w:val="Normal"/>
    <w:uiPriority w:val="34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basedOn w:val="Normal"/>
    <w:uiPriority w:val="34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6B38-5856-4F6F-965D-121CE02B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AUDI152</dc:creator>
  <cp:lastModifiedBy>Luffi</cp:lastModifiedBy>
  <cp:revision>4</cp:revision>
  <cp:lastPrinted>2021-01-13T13:57:00Z</cp:lastPrinted>
  <dcterms:created xsi:type="dcterms:W3CDTF">2021-01-12T18:36:00Z</dcterms:created>
  <dcterms:modified xsi:type="dcterms:W3CDTF">2021-01-13T20:30:00Z</dcterms:modified>
</cp:coreProperties>
</file>