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D2" w:rsidRPr="004050D2" w:rsidRDefault="004050D2" w:rsidP="004050D2">
      <w:pPr>
        <w:pStyle w:val="Prrafodelista"/>
        <w:ind w:left="720"/>
        <w:jc w:val="center"/>
        <w:rPr>
          <w:rFonts w:ascii="Arial Narrow" w:eastAsia="Calibri" w:hAnsi="Arial Narrow"/>
          <w:b/>
          <w:sz w:val="24"/>
          <w:szCs w:val="22"/>
          <w:lang w:val="es-BO" w:eastAsia="es-ES"/>
        </w:rPr>
      </w:pPr>
      <w:r w:rsidRPr="004050D2">
        <w:rPr>
          <w:rFonts w:ascii="Arial Narrow" w:eastAsia="Calibri" w:hAnsi="Arial Narrow"/>
          <w:b/>
          <w:sz w:val="24"/>
          <w:szCs w:val="22"/>
          <w:lang w:val="es-BO" w:eastAsia="es-ES"/>
        </w:rPr>
        <w:t>DIRECCCION DE AUDITORIA INTERNA</w:t>
      </w:r>
    </w:p>
    <w:p w:rsidR="004050D2" w:rsidRDefault="004050D2" w:rsidP="004050D2">
      <w:pPr>
        <w:pStyle w:val="Prrafodelista"/>
        <w:ind w:left="720"/>
        <w:jc w:val="center"/>
        <w:rPr>
          <w:rFonts w:ascii="Arial Narrow" w:eastAsia="Calibri" w:hAnsi="Arial Narrow"/>
          <w:b/>
          <w:sz w:val="22"/>
          <w:szCs w:val="22"/>
          <w:lang w:val="es-BO" w:eastAsia="es-ES"/>
        </w:rPr>
      </w:pPr>
    </w:p>
    <w:p w:rsidR="004050D2" w:rsidRPr="00EB645B" w:rsidRDefault="004050D2" w:rsidP="004050D2">
      <w:pPr>
        <w:pStyle w:val="Prrafodelista"/>
        <w:ind w:left="720"/>
        <w:jc w:val="center"/>
        <w:rPr>
          <w:rFonts w:ascii="Arial Narrow" w:eastAsia="Calibri" w:hAnsi="Arial Narrow"/>
          <w:b/>
          <w:sz w:val="22"/>
          <w:szCs w:val="22"/>
          <w:lang w:val="es-BO" w:eastAsia="es-ES"/>
        </w:rPr>
      </w:pPr>
      <w:r w:rsidRPr="00EB645B">
        <w:rPr>
          <w:rFonts w:ascii="Arial Narrow" w:eastAsia="Calibri" w:hAnsi="Arial Narrow"/>
          <w:b/>
          <w:sz w:val="22"/>
          <w:szCs w:val="22"/>
          <w:lang w:val="es-BO" w:eastAsia="es-ES"/>
        </w:rPr>
        <w:t>RESUMEN EJECUTIVO</w:t>
      </w:r>
    </w:p>
    <w:p w:rsidR="004050D2" w:rsidRPr="00EB645B" w:rsidRDefault="004050D2" w:rsidP="004050D2">
      <w:pPr>
        <w:pStyle w:val="Prrafodelista"/>
        <w:ind w:left="720"/>
        <w:jc w:val="center"/>
        <w:rPr>
          <w:rFonts w:ascii="Arial Narrow" w:hAnsi="Arial Narrow"/>
          <w:b/>
          <w:sz w:val="22"/>
          <w:szCs w:val="22"/>
          <w:lang w:val="es-BO"/>
        </w:rPr>
      </w:pPr>
      <w:r w:rsidRPr="00EB645B">
        <w:rPr>
          <w:rFonts w:ascii="Arial Narrow" w:hAnsi="Arial Narrow"/>
          <w:b/>
          <w:sz w:val="22"/>
          <w:szCs w:val="22"/>
          <w:lang w:val="es-BO"/>
        </w:rPr>
        <w:t>INF</w:t>
      </w:r>
      <w:r>
        <w:rPr>
          <w:rFonts w:ascii="Arial Narrow" w:hAnsi="Arial Narrow"/>
          <w:b/>
          <w:sz w:val="22"/>
          <w:szCs w:val="22"/>
          <w:lang w:val="es-BO"/>
        </w:rPr>
        <w:t xml:space="preserve">. </w:t>
      </w:r>
      <w:r w:rsidRPr="00EB645B">
        <w:rPr>
          <w:rFonts w:ascii="Arial Narrow" w:hAnsi="Arial Narrow"/>
          <w:b/>
          <w:sz w:val="22"/>
          <w:szCs w:val="22"/>
          <w:lang w:val="es-BO"/>
        </w:rPr>
        <w:t xml:space="preserve"> D</w:t>
      </w:r>
      <w:r>
        <w:rPr>
          <w:rFonts w:ascii="Arial Narrow" w:hAnsi="Arial Narrow"/>
          <w:b/>
          <w:sz w:val="22"/>
          <w:szCs w:val="22"/>
          <w:lang w:val="es-BO"/>
        </w:rPr>
        <w:t>.</w:t>
      </w:r>
      <w:r w:rsidRPr="00EB645B">
        <w:rPr>
          <w:rFonts w:ascii="Arial Narrow" w:hAnsi="Arial Narrow"/>
          <w:b/>
          <w:sz w:val="22"/>
          <w:szCs w:val="22"/>
          <w:lang w:val="es-BO"/>
        </w:rPr>
        <w:t>A</w:t>
      </w:r>
      <w:r>
        <w:rPr>
          <w:rFonts w:ascii="Arial Narrow" w:hAnsi="Arial Narrow"/>
          <w:b/>
          <w:sz w:val="22"/>
          <w:szCs w:val="22"/>
          <w:lang w:val="es-BO"/>
        </w:rPr>
        <w:t>.</w:t>
      </w:r>
      <w:r w:rsidRPr="00EB645B">
        <w:rPr>
          <w:rFonts w:ascii="Arial Narrow" w:hAnsi="Arial Narrow"/>
          <w:b/>
          <w:sz w:val="22"/>
          <w:szCs w:val="22"/>
          <w:lang w:val="es-BO"/>
        </w:rPr>
        <w:t>I</w:t>
      </w:r>
      <w:r>
        <w:rPr>
          <w:rFonts w:ascii="Arial Narrow" w:hAnsi="Arial Narrow"/>
          <w:b/>
          <w:sz w:val="22"/>
          <w:szCs w:val="22"/>
          <w:lang w:val="es-BO"/>
        </w:rPr>
        <w:t xml:space="preserve">. </w:t>
      </w:r>
      <w:r w:rsidRPr="00EB645B">
        <w:rPr>
          <w:rFonts w:ascii="Arial Narrow" w:hAnsi="Arial Narrow"/>
          <w:b/>
          <w:sz w:val="22"/>
          <w:szCs w:val="22"/>
          <w:lang w:val="es-BO"/>
        </w:rPr>
        <w:t>Nº 07/2021</w:t>
      </w:r>
    </w:p>
    <w:p w:rsidR="004050D2" w:rsidRPr="00EB645B" w:rsidRDefault="004050D2" w:rsidP="004050D2">
      <w:pPr>
        <w:pStyle w:val="Prrafodelista"/>
        <w:ind w:left="720"/>
        <w:jc w:val="center"/>
        <w:rPr>
          <w:rFonts w:ascii="Arial Narrow" w:eastAsiaTheme="minorHAnsi" w:hAnsi="Arial Narrow"/>
          <w:b/>
          <w:sz w:val="22"/>
          <w:szCs w:val="22"/>
          <w:lang w:val="es-BO"/>
        </w:rPr>
      </w:pPr>
    </w:p>
    <w:p w:rsidR="004050D2" w:rsidRPr="00EB645B" w:rsidRDefault="004050D2" w:rsidP="004050D2">
      <w:pPr>
        <w:jc w:val="both"/>
        <w:rPr>
          <w:rFonts w:ascii="Arial Narrow" w:eastAsia="Calibri" w:hAnsi="Arial Narrow"/>
          <w:color w:val="000000" w:themeColor="text1"/>
          <w:sz w:val="22"/>
          <w:szCs w:val="22"/>
          <w:lang w:val="es-BO" w:eastAsia="es-ES"/>
        </w:rPr>
      </w:pPr>
      <w:r w:rsidRPr="00EB645B">
        <w:rPr>
          <w:rFonts w:ascii="Arial Narrow" w:eastAsia="Calibri" w:hAnsi="Arial Narrow"/>
          <w:color w:val="000000" w:themeColor="text1"/>
          <w:sz w:val="22"/>
          <w:szCs w:val="22"/>
          <w:lang w:val="es-BO" w:eastAsia="es-ES"/>
        </w:rPr>
        <w:t xml:space="preserve">Seguimiento al Informe de auditoría  </w:t>
      </w:r>
      <w:r w:rsidRPr="00EB645B">
        <w:rPr>
          <w:rFonts w:ascii="Arial Narrow" w:hAnsi="Arial Narrow"/>
          <w:sz w:val="22"/>
          <w:szCs w:val="22"/>
          <w:lang w:val="es-BO"/>
        </w:rPr>
        <w:t xml:space="preserve">INF DAI-GAMS Nº </w:t>
      </w:r>
      <w:r>
        <w:rPr>
          <w:rFonts w:ascii="Arial Narrow" w:hAnsi="Arial Narrow"/>
          <w:sz w:val="22"/>
          <w:szCs w:val="22"/>
          <w:lang w:val="es-BO"/>
        </w:rPr>
        <w:t>0</w:t>
      </w:r>
      <w:r w:rsidRPr="00EB645B">
        <w:rPr>
          <w:rFonts w:ascii="Arial Narrow" w:hAnsi="Arial Narrow"/>
          <w:sz w:val="22"/>
          <w:szCs w:val="22"/>
          <w:lang w:val="es-BO"/>
        </w:rPr>
        <w:t>3/2020 correspondiente  al informe de la “</w:t>
      </w:r>
      <w:r w:rsidRPr="00EB645B">
        <w:rPr>
          <w:rFonts w:ascii="Arial Narrow" w:hAnsi="Arial Narrow"/>
          <w:color w:val="000000" w:themeColor="text1"/>
          <w:sz w:val="22"/>
          <w:szCs w:val="22"/>
          <w:lang w:val="es-BO" w:eastAsia="es-ES"/>
        </w:rPr>
        <w:t xml:space="preserve">Auditoría de Confiabilidad de los Registros y Estados Financieros del Gobierno Autónomo Municipal de Sucre Correspondiente a la Gestión 2019”, ejecutado en </w:t>
      </w:r>
      <w:r w:rsidRPr="00EB645B">
        <w:rPr>
          <w:rFonts w:ascii="Arial Narrow" w:eastAsia="Calibri" w:hAnsi="Arial Narrow"/>
          <w:color w:val="000000" w:themeColor="text1"/>
          <w:sz w:val="22"/>
          <w:szCs w:val="22"/>
          <w:lang w:val="es-BO" w:eastAsia="es-ES"/>
        </w:rPr>
        <w:t>cumplimiento al Programa Operativo Anual de la Dirección de Auditoría Interna del Gobierno Autónomo Municipal de Sucre y artículos 15 y 27 inc. e) de la Ley N° 1178 de Administración y Control Gubernamentales se ha efectuado la “Auditoría de Confiabilidad de los Registros y Estados Financieros del Gobierno Autónomo Municipal de Sucre correspondiente a la gestión 2019.</w:t>
      </w:r>
    </w:p>
    <w:p w:rsidR="004050D2" w:rsidRPr="00EB645B" w:rsidRDefault="004050D2" w:rsidP="004050D2">
      <w:pPr>
        <w:jc w:val="both"/>
        <w:rPr>
          <w:rFonts w:ascii="Arial Narrow" w:eastAsia="Calibri" w:hAnsi="Arial Narrow"/>
          <w:b/>
          <w:color w:val="000000" w:themeColor="text1"/>
          <w:sz w:val="22"/>
          <w:szCs w:val="22"/>
          <w:lang w:val="es-BO" w:eastAsia="es-ES"/>
        </w:rPr>
      </w:pPr>
      <w:bookmarkStart w:id="0" w:name="_Toc33626910"/>
      <w:bookmarkStart w:id="1" w:name="_Toc506998668"/>
      <w:bookmarkStart w:id="2" w:name="_Toc506823573"/>
      <w:bookmarkStart w:id="3" w:name="_Toc475205244"/>
    </w:p>
    <w:p w:rsidR="004050D2" w:rsidRPr="00EB645B" w:rsidRDefault="004050D2" w:rsidP="004050D2">
      <w:pPr>
        <w:jc w:val="both"/>
        <w:rPr>
          <w:rFonts w:ascii="Arial Narrow" w:eastAsia="Calibri" w:hAnsi="Arial Narrow"/>
          <w:b/>
          <w:color w:val="000000" w:themeColor="text1"/>
          <w:sz w:val="22"/>
          <w:szCs w:val="22"/>
          <w:lang w:val="es-BO" w:eastAsia="es-ES"/>
        </w:rPr>
      </w:pPr>
      <w:r w:rsidRPr="00EB645B">
        <w:rPr>
          <w:rFonts w:ascii="Arial Narrow" w:eastAsia="Calibri" w:hAnsi="Arial Narrow"/>
          <w:b/>
          <w:color w:val="000000" w:themeColor="text1"/>
          <w:sz w:val="22"/>
          <w:szCs w:val="22"/>
          <w:lang w:val="es-BO" w:eastAsia="es-ES"/>
        </w:rPr>
        <w:t>Objetivo</w:t>
      </w:r>
      <w:bookmarkEnd w:id="0"/>
      <w:bookmarkEnd w:id="1"/>
      <w:bookmarkEnd w:id="2"/>
      <w:bookmarkEnd w:id="3"/>
    </w:p>
    <w:p w:rsidR="004050D2" w:rsidRPr="00EB645B" w:rsidRDefault="004050D2" w:rsidP="004050D2">
      <w:pPr>
        <w:ind w:left="1134"/>
        <w:jc w:val="both"/>
        <w:rPr>
          <w:rFonts w:ascii="Arial Narrow" w:eastAsia="Calibri" w:hAnsi="Arial Narrow"/>
          <w:b/>
          <w:color w:val="000000" w:themeColor="text1"/>
          <w:sz w:val="22"/>
          <w:szCs w:val="22"/>
          <w:lang w:val="es-BO" w:eastAsia="es-ES"/>
        </w:rPr>
      </w:pPr>
    </w:p>
    <w:p w:rsidR="004050D2" w:rsidRPr="00EB645B" w:rsidRDefault="004050D2" w:rsidP="004050D2">
      <w:pPr>
        <w:jc w:val="both"/>
        <w:rPr>
          <w:rFonts w:ascii="Arial Narrow" w:eastAsia="Calibri" w:hAnsi="Arial Narrow"/>
          <w:color w:val="000000" w:themeColor="text1"/>
          <w:sz w:val="22"/>
          <w:szCs w:val="22"/>
          <w:lang w:val="es-BO" w:eastAsia="es-ES"/>
        </w:rPr>
      </w:pPr>
      <w:r w:rsidRPr="00EB645B">
        <w:rPr>
          <w:rFonts w:ascii="Arial Narrow" w:eastAsia="Calibri" w:hAnsi="Arial Narrow"/>
          <w:color w:val="000000" w:themeColor="text1"/>
          <w:sz w:val="22"/>
          <w:szCs w:val="22"/>
          <w:lang w:val="es-BO"/>
        </w:rPr>
        <w:t xml:space="preserve">El objetivo de nuestro examen es evaluar el Control Interno implantado para fines de la auditoría de Confiabilidad de los Registros Contables y Estados Financieros del </w:t>
      </w:r>
      <w:r w:rsidRPr="00EB645B">
        <w:rPr>
          <w:rFonts w:ascii="Arial Narrow" w:eastAsia="Calibri" w:hAnsi="Arial Narrow"/>
          <w:color w:val="000000" w:themeColor="text1"/>
          <w:sz w:val="22"/>
          <w:szCs w:val="22"/>
          <w:lang w:val="es-BO" w:eastAsia="es-ES"/>
        </w:rPr>
        <w:t>Gobierno Autónomo Municipal de Sucre.</w:t>
      </w:r>
    </w:p>
    <w:p w:rsidR="004050D2" w:rsidRPr="00EB645B" w:rsidRDefault="004050D2" w:rsidP="004050D2">
      <w:pPr>
        <w:jc w:val="both"/>
        <w:rPr>
          <w:rFonts w:ascii="Arial Narrow" w:eastAsia="Calibri" w:hAnsi="Arial Narrow"/>
          <w:color w:val="000000" w:themeColor="text1"/>
          <w:sz w:val="22"/>
          <w:szCs w:val="22"/>
          <w:lang w:val="es-BO" w:eastAsia="es-ES"/>
        </w:rPr>
      </w:pPr>
    </w:p>
    <w:p w:rsidR="004050D2" w:rsidRPr="00EB645B" w:rsidRDefault="004050D2" w:rsidP="004050D2">
      <w:pPr>
        <w:jc w:val="both"/>
        <w:rPr>
          <w:rFonts w:ascii="Arial Narrow" w:eastAsia="Calibri" w:hAnsi="Arial Narrow"/>
          <w:color w:val="000000" w:themeColor="text1"/>
          <w:sz w:val="22"/>
          <w:szCs w:val="22"/>
          <w:lang w:val="es-BO" w:eastAsia="es-ES"/>
        </w:rPr>
      </w:pPr>
      <w:bookmarkStart w:id="4" w:name="_Toc33626911"/>
      <w:bookmarkStart w:id="5" w:name="_Toc506998669"/>
      <w:bookmarkStart w:id="6" w:name="_Toc506823574"/>
      <w:bookmarkStart w:id="7" w:name="_Toc475205245"/>
      <w:bookmarkStart w:id="8" w:name="_Toc444152681"/>
      <w:r w:rsidRPr="00EB645B">
        <w:rPr>
          <w:rFonts w:ascii="Arial Narrow" w:eastAsia="Calibri" w:hAnsi="Arial Narrow"/>
          <w:b/>
          <w:color w:val="000000" w:themeColor="text1"/>
          <w:sz w:val="22"/>
          <w:szCs w:val="22"/>
          <w:lang w:val="es-BO" w:eastAsia="es-ES"/>
        </w:rPr>
        <w:t>Objeto</w:t>
      </w:r>
      <w:bookmarkEnd w:id="4"/>
      <w:bookmarkEnd w:id="5"/>
      <w:bookmarkEnd w:id="6"/>
      <w:bookmarkEnd w:id="7"/>
      <w:r w:rsidRPr="00EB645B">
        <w:rPr>
          <w:rFonts w:ascii="Arial Narrow" w:eastAsia="Calibri" w:hAnsi="Arial Narrow"/>
          <w:b/>
          <w:color w:val="000000" w:themeColor="text1"/>
          <w:sz w:val="22"/>
          <w:szCs w:val="22"/>
          <w:lang w:val="es-BO" w:eastAsia="es-ES"/>
        </w:rPr>
        <w:t xml:space="preserve"> </w:t>
      </w:r>
      <w:bookmarkEnd w:id="8"/>
    </w:p>
    <w:p w:rsidR="004050D2" w:rsidRPr="00EB645B" w:rsidRDefault="004050D2" w:rsidP="004050D2">
      <w:pPr>
        <w:ind w:left="708"/>
        <w:jc w:val="both"/>
        <w:rPr>
          <w:rFonts w:ascii="Arial Narrow" w:eastAsia="Calibri" w:hAnsi="Arial Narrow"/>
          <w:b/>
          <w:color w:val="000000" w:themeColor="text1"/>
          <w:sz w:val="22"/>
          <w:szCs w:val="22"/>
          <w:lang w:val="es-BO" w:eastAsia="es-ES"/>
        </w:rPr>
      </w:pPr>
    </w:p>
    <w:p w:rsidR="004050D2" w:rsidRPr="00EB645B" w:rsidRDefault="004050D2" w:rsidP="004050D2">
      <w:pPr>
        <w:jc w:val="both"/>
        <w:rPr>
          <w:rFonts w:ascii="Arial Narrow" w:eastAsia="Calibri" w:hAnsi="Arial Narrow"/>
          <w:color w:val="000000" w:themeColor="text1"/>
          <w:sz w:val="22"/>
          <w:szCs w:val="22"/>
          <w:lang w:val="es-BO"/>
        </w:rPr>
      </w:pPr>
      <w:r w:rsidRPr="00EB645B">
        <w:rPr>
          <w:rFonts w:ascii="Arial Narrow" w:eastAsia="Calibri" w:hAnsi="Arial Narrow"/>
          <w:color w:val="000000" w:themeColor="text1"/>
          <w:sz w:val="22"/>
          <w:szCs w:val="22"/>
          <w:lang w:val="es-BO"/>
        </w:rPr>
        <w:t>El objeto del seguimiento está constituido por la siguiente documentación e información:</w:t>
      </w:r>
    </w:p>
    <w:p w:rsidR="004050D2" w:rsidRPr="00EB645B" w:rsidRDefault="004050D2" w:rsidP="004050D2">
      <w:pPr>
        <w:jc w:val="both"/>
        <w:rPr>
          <w:rFonts w:ascii="Arial Narrow" w:eastAsia="Calibri" w:hAnsi="Arial Narrow"/>
          <w:color w:val="000000" w:themeColor="text1"/>
          <w:sz w:val="22"/>
          <w:szCs w:val="22"/>
          <w:lang w:val="es-BO"/>
        </w:rPr>
      </w:pPr>
    </w:p>
    <w:p w:rsidR="004050D2" w:rsidRPr="00B418DF" w:rsidRDefault="004050D2" w:rsidP="004050D2">
      <w:pPr>
        <w:pStyle w:val="Prrafodelista"/>
        <w:numPr>
          <w:ilvl w:val="0"/>
          <w:numId w:val="2"/>
        </w:numPr>
        <w:overflowPunct/>
        <w:autoSpaceDE/>
        <w:autoSpaceDN/>
        <w:adjustRightInd/>
        <w:ind w:left="426"/>
        <w:jc w:val="both"/>
        <w:textAlignment w:val="auto"/>
        <w:rPr>
          <w:rFonts w:ascii="Arial Narrow" w:hAnsi="Arial Narrow"/>
          <w:color w:val="000000" w:themeColor="text1"/>
          <w:sz w:val="22"/>
          <w:szCs w:val="22"/>
          <w:lang w:val="es-BO" w:eastAsia="es-ES"/>
        </w:rPr>
      </w:pPr>
      <w:r w:rsidRPr="00B418DF">
        <w:rPr>
          <w:rFonts w:ascii="Arial Narrow" w:hAnsi="Arial Narrow"/>
          <w:sz w:val="22"/>
          <w:szCs w:val="22"/>
          <w:lang w:val="es-BO"/>
        </w:rPr>
        <w:t xml:space="preserve">INF DAI-GAMS Nº 03/2020 </w:t>
      </w:r>
    </w:p>
    <w:p w:rsidR="004050D2" w:rsidRPr="00B418DF" w:rsidRDefault="004050D2" w:rsidP="004050D2">
      <w:pPr>
        <w:pStyle w:val="Prrafodelista"/>
        <w:numPr>
          <w:ilvl w:val="0"/>
          <w:numId w:val="2"/>
        </w:numPr>
        <w:overflowPunct/>
        <w:autoSpaceDE/>
        <w:autoSpaceDN/>
        <w:adjustRightInd/>
        <w:ind w:left="426"/>
        <w:jc w:val="both"/>
        <w:textAlignment w:val="auto"/>
        <w:rPr>
          <w:rFonts w:ascii="Arial Narrow" w:hAnsi="Arial Narrow"/>
          <w:color w:val="000000" w:themeColor="text1"/>
          <w:sz w:val="22"/>
          <w:szCs w:val="22"/>
          <w:lang w:val="es-BO" w:eastAsia="es-ES"/>
        </w:rPr>
      </w:pPr>
      <w:r w:rsidRPr="00B418DF">
        <w:rPr>
          <w:rFonts w:ascii="Arial Narrow" w:hAnsi="Arial Narrow"/>
          <w:color w:val="000000" w:themeColor="text1"/>
          <w:sz w:val="22"/>
          <w:szCs w:val="22"/>
          <w:lang w:val="es-BO" w:eastAsia="es-ES"/>
        </w:rPr>
        <w:t xml:space="preserve">Formato 1 (Aceptación de Recomendaciones), Formato  2 (Implantación de Recomendaciones) </w:t>
      </w:r>
    </w:p>
    <w:p w:rsidR="004050D2" w:rsidRPr="00B418DF" w:rsidRDefault="004050D2" w:rsidP="004050D2">
      <w:pPr>
        <w:pStyle w:val="Prrafodelista"/>
        <w:numPr>
          <w:ilvl w:val="0"/>
          <w:numId w:val="2"/>
        </w:numPr>
        <w:overflowPunct/>
        <w:autoSpaceDE/>
        <w:autoSpaceDN/>
        <w:adjustRightInd/>
        <w:ind w:left="426"/>
        <w:jc w:val="both"/>
        <w:textAlignment w:val="auto"/>
        <w:rPr>
          <w:rFonts w:ascii="Arial Narrow" w:hAnsi="Arial Narrow"/>
          <w:color w:val="000000" w:themeColor="text1"/>
          <w:sz w:val="22"/>
          <w:szCs w:val="22"/>
          <w:lang w:val="es-BO" w:eastAsia="es-ES"/>
        </w:rPr>
      </w:pPr>
      <w:r w:rsidRPr="00B418DF">
        <w:rPr>
          <w:rFonts w:ascii="Arial Narrow" w:hAnsi="Arial Narrow"/>
          <w:color w:val="000000" w:themeColor="text1"/>
          <w:sz w:val="22"/>
          <w:szCs w:val="22"/>
          <w:lang w:val="es-BO" w:eastAsia="es-ES"/>
        </w:rPr>
        <w:t>Estado de Cambio en el Patrimonio Neto al 31/12/2019</w:t>
      </w:r>
    </w:p>
    <w:p w:rsidR="004050D2" w:rsidRPr="00B418DF" w:rsidRDefault="004050D2" w:rsidP="004050D2">
      <w:pPr>
        <w:pStyle w:val="Prrafodelista"/>
        <w:numPr>
          <w:ilvl w:val="0"/>
          <w:numId w:val="2"/>
        </w:numPr>
        <w:overflowPunct/>
        <w:autoSpaceDE/>
        <w:autoSpaceDN/>
        <w:adjustRightInd/>
        <w:ind w:left="426"/>
        <w:jc w:val="both"/>
        <w:textAlignment w:val="auto"/>
        <w:rPr>
          <w:rFonts w:ascii="Arial Narrow" w:hAnsi="Arial Narrow"/>
          <w:color w:val="000000" w:themeColor="text1"/>
          <w:sz w:val="22"/>
          <w:szCs w:val="22"/>
          <w:lang w:val="es-BO" w:eastAsia="es-ES"/>
        </w:rPr>
      </w:pPr>
      <w:r w:rsidRPr="00B418DF">
        <w:rPr>
          <w:rFonts w:ascii="Arial Narrow" w:hAnsi="Arial Narrow"/>
          <w:color w:val="000000" w:themeColor="text1"/>
          <w:sz w:val="22"/>
          <w:szCs w:val="22"/>
          <w:lang w:val="es-BO" w:eastAsia="es-ES"/>
        </w:rPr>
        <w:t>Informes de cumplimiento y document</w:t>
      </w:r>
      <w:bookmarkStart w:id="9" w:name="_GoBack"/>
      <w:bookmarkEnd w:id="9"/>
      <w:r w:rsidRPr="00B418DF">
        <w:rPr>
          <w:rFonts w:ascii="Arial Narrow" w:hAnsi="Arial Narrow"/>
          <w:color w:val="000000" w:themeColor="text1"/>
          <w:sz w:val="22"/>
          <w:szCs w:val="22"/>
          <w:lang w:val="es-BO" w:eastAsia="es-ES"/>
        </w:rPr>
        <w:t>ación que respalda a la implantación de las recomendaciones.</w:t>
      </w:r>
    </w:p>
    <w:p w:rsidR="004050D2" w:rsidRPr="00B418DF" w:rsidRDefault="004050D2" w:rsidP="004050D2">
      <w:pPr>
        <w:pStyle w:val="Prrafodelista"/>
        <w:numPr>
          <w:ilvl w:val="0"/>
          <w:numId w:val="2"/>
        </w:numPr>
        <w:overflowPunct/>
        <w:autoSpaceDE/>
        <w:autoSpaceDN/>
        <w:adjustRightInd/>
        <w:ind w:left="426"/>
        <w:jc w:val="both"/>
        <w:textAlignment w:val="auto"/>
        <w:rPr>
          <w:rFonts w:ascii="Arial Narrow" w:hAnsi="Arial Narrow"/>
          <w:color w:val="000000" w:themeColor="text1"/>
          <w:sz w:val="22"/>
          <w:szCs w:val="22"/>
          <w:lang w:val="es-BO" w:eastAsia="es-ES"/>
        </w:rPr>
      </w:pPr>
      <w:r w:rsidRPr="00B418DF">
        <w:rPr>
          <w:rFonts w:ascii="Arial Narrow" w:hAnsi="Arial Narrow"/>
          <w:color w:val="000000" w:themeColor="text1"/>
          <w:sz w:val="22"/>
          <w:szCs w:val="22"/>
          <w:lang w:val="es-BO" w:eastAsia="es-ES"/>
        </w:rPr>
        <w:t>Comunicaciones Internas emitidas por la Máxima Autoridad Ejecutiva del G.A.M.S.</w:t>
      </w:r>
    </w:p>
    <w:p w:rsidR="004050D2" w:rsidRPr="00B418DF" w:rsidRDefault="004050D2" w:rsidP="004050D2">
      <w:pPr>
        <w:pStyle w:val="Prrafodelista"/>
        <w:numPr>
          <w:ilvl w:val="0"/>
          <w:numId w:val="2"/>
        </w:numPr>
        <w:overflowPunct/>
        <w:autoSpaceDE/>
        <w:autoSpaceDN/>
        <w:adjustRightInd/>
        <w:ind w:left="426"/>
        <w:jc w:val="both"/>
        <w:textAlignment w:val="auto"/>
        <w:rPr>
          <w:rFonts w:ascii="Arial Narrow" w:hAnsi="Arial Narrow"/>
          <w:color w:val="000000" w:themeColor="text1"/>
          <w:sz w:val="22"/>
          <w:szCs w:val="22"/>
          <w:lang w:val="es-BO" w:eastAsia="es-ES"/>
        </w:rPr>
      </w:pPr>
      <w:r w:rsidRPr="00B418DF">
        <w:rPr>
          <w:rFonts w:ascii="Arial Narrow" w:hAnsi="Arial Narrow"/>
          <w:color w:val="000000" w:themeColor="text1"/>
          <w:sz w:val="22"/>
          <w:szCs w:val="22"/>
          <w:lang w:val="es-BO" w:eastAsia="es-ES"/>
        </w:rPr>
        <w:t>Otra documentación relacionada con las recomendaciones.</w:t>
      </w:r>
    </w:p>
    <w:p w:rsidR="004050D2" w:rsidRPr="00EB645B" w:rsidRDefault="004050D2" w:rsidP="004050D2">
      <w:pPr>
        <w:overflowPunct/>
        <w:autoSpaceDE/>
        <w:autoSpaceDN/>
        <w:adjustRightInd/>
        <w:ind w:left="644"/>
        <w:jc w:val="both"/>
        <w:textAlignment w:val="auto"/>
        <w:rPr>
          <w:rFonts w:ascii="Arial Narrow" w:hAnsi="Arial Narrow"/>
          <w:color w:val="000000" w:themeColor="text1"/>
          <w:sz w:val="22"/>
          <w:szCs w:val="22"/>
          <w:lang w:val="es-BO" w:eastAsia="es-ES"/>
        </w:rPr>
      </w:pPr>
    </w:p>
    <w:p w:rsidR="004050D2" w:rsidRPr="00EB645B" w:rsidRDefault="004050D2" w:rsidP="004050D2">
      <w:pPr>
        <w:jc w:val="both"/>
        <w:rPr>
          <w:rStyle w:val="Hipervnculo"/>
          <w:rFonts w:ascii="Arial Narrow" w:eastAsia="Calibri" w:hAnsi="Arial Narrow"/>
          <w:b/>
          <w:noProof/>
          <w:color w:val="000000" w:themeColor="text1"/>
          <w:sz w:val="22"/>
          <w:szCs w:val="22"/>
          <w:lang w:val="es-ES" w:eastAsia="es-ES"/>
        </w:rPr>
      </w:pPr>
      <w:hyperlink r:id="rId6" w:anchor="_Toc33626915" w:history="1">
        <w:r w:rsidRPr="00EB645B">
          <w:rPr>
            <w:rStyle w:val="Hipervnculo"/>
            <w:rFonts w:ascii="Arial Narrow" w:eastAsia="Calibri" w:hAnsi="Arial Narrow"/>
            <w:b/>
            <w:noProof/>
            <w:color w:val="000000" w:themeColor="text1"/>
            <w:sz w:val="22"/>
            <w:szCs w:val="22"/>
            <w:lang w:val="es-ES" w:eastAsia="es-ES"/>
          </w:rPr>
          <w:t>RESULTADOS DEL SEGUIMIENTO</w:t>
        </w:r>
      </w:hyperlink>
    </w:p>
    <w:p w:rsidR="004050D2" w:rsidRPr="00EB645B" w:rsidRDefault="004050D2" w:rsidP="004050D2">
      <w:pPr>
        <w:jc w:val="both"/>
        <w:rPr>
          <w:rStyle w:val="Hipervnculo"/>
          <w:rFonts w:ascii="Arial Narrow" w:eastAsia="Calibri" w:hAnsi="Arial Narrow"/>
          <w:b/>
          <w:noProof/>
          <w:color w:val="000000" w:themeColor="text1"/>
          <w:sz w:val="22"/>
          <w:szCs w:val="22"/>
          <w:lang w:val="es-ES" w:eastAsia="es-ES"/>
        </w:rPr>
      </w:pPr>
    </w:p>
    <w:p w:rsidR="004050D2" w:rsidRPr="00EB645B" w:rsidRDefault="004050D2" w:rsidP="004050D2">
      <w:pPr>
        <w:jc w:val="both"/>
        <w:rPr>
          <w:rFonts w:ascii="Arial Narrow" w:eastAsiaTheme="minorEastAsia" w:hAnsi="Arial Narrow"/>
          <w:sz w:val="22"/>
          <w:szCs w:val="22"/>
          <w:lang w:val="es-BO" w:eastAsia="es-BO"/>
        </w:rPr>
      </w:pPr>
      <w:r w:rsidRPr="00EB645B">
        <w:rPr>
          <w:rFonts w:ascii="Arial Narrow" w:eastAsiaTheme="minorEastAsia" w:hAnsi="Arial Narrow"/>
          <w:sz w:val="22"/>
          <w:szCs w:val="22"/>
          <w:lang w:val="es-BO" w:eastAsia="es-BO"/>
        </w:rPr>
        <w:t>La evacuación se ha realizado de acuerdo a las Normas Generales de Auditoria Gubernamental y el Resultado es el que sigue:</w:t>
      </w:r>
    </w:p>
    <w:p w:rsidR="004050D2" w:rsidRPr="00EB645B" w:rsidRDefault="004050D2" w:rsidP="004050D2">
      <w:pPr>
        <w:ind w:left="705"/>
        <w:jc w:val="both"/>
        <w:rPr>
          <w:rFonts w:ascii="Arial Narrow" w:eastAsiaTheme="minorEastAsia" w:hAnsi="Arial Narrow"/>
          <w:sz w:val="22"/>
          <w:szCs w:val="22"/>
          <w:lang w:val="es-BO" w:eastAsia="es-BO"/>
        </w:rPr>
      </w:pPr>
    </w:p>
    <w:p w:rsidR="004050D2" w:rsidRPr="00EB645B" w:rsidRDefault="004050D2" w:rsidP="004050D2">
      <w:pPr>
        <w:jc w:val="both"/>
        <w:rPr>
          <w:rFonts w:ascii="Arial Narrow" w:eastAsiaTheme="minorEastAsia" w:hAnsi="Arial Narrow"/>
          <w:b/>
          <w:sz w:val="22"/>
          <w:szCs w:val="22"/>
          <w:lang w:val="es-BO" w:eastAsia="es-BO"/>
        </w:rPr>
      </w:pPr>
      <w:r w:rsidRPr="00EB645B">
        <w:rPr>
          <w:rFonts w:ascii="Arial Narrow" w:eastAsiaTheme="minorEastAsia" w:hAnsi="Arial Narrow"/>
          <w:b/>
          <w:sz w:val="22"/>
          <w:szCs w:val="22"/>
          <w:lang w:val="es-BO" w:eastAsia="es-BO"/>
        </w:rPr>
        <w:t>RECOMENDACIONES CUMPLIDAS  Y NO CUMPLIDAS</w:t>
      </w:r>
    </w:p>
    <w:p w:rsidR="004050D2" w:rsidRPr="00EB645B" w:rsidRDefault="004050D2" w:rsidP="004050D2">
      <w:pPr>
        <w:ind w:left="705"/>
        <w:jc w:val="both"/>
        <w:rPr>
          <w:rFonts w:ascii="Arial Narrow" w:eastAsiaTheme="minorEastAsia" w:hAnsi="Arial Narrow"/>
          <w:b/>
          <w:sz w:val="22"/>
          <w:szCs w:val="22"/>
          <w:lang w:val="es-BO" w:eastAsia="es-BO"/>
        </w:rPr>
      </w:pPr>
    </w:p>
    <w:p w:rsidR="004050D2" w:rsidRPr="00EB645B" w:rsidRDefault="004050D2" w:rsidP="004050D2">
      <w:pPr>
        <w:jc w:val="both"/>
        <w:rPr>
          <w:rFonts w:ascii="Arial Narrow" w:eastAsiaTheme="minorEastAsia" w:hAnsi="Arial Narrow"/>
          <w:b/>
          <w:sz w:val="22"/>
          <w:szCs w:val="22"/>
          <w:lang w:val="es-BO" w:eastAsia="es-BO"/>
        </w:rPr>
      </w:pPr>
      <w:r w:rsidRPr="00EB645B">
        <w:rPr>
          <w:rFonts w:ascii="Arial Narrow" w:eastAsiaTheme="minorEastAsia" w:hAnsi="Arial Narrow"/>
          <w:b/>
          <w:sz w:val="22"/>
          <w:szCs w:val="22"/>
          <w:lang w:val="es-BO" w:eastAsia="es-BO"/>
        </w:rPr>
        <w:t>RECOMENDACIONES CUMPLIDAS</w:t>
      </w:r>
    </w:p>
    <w:p w:rsidR="004050D2" w:rsidRPr="004050D2" w:rsidRDefault="004050D2" w:rsidP="004050D2">
      <w:pPr>
        <w:ind w:left="705"/>
        <w:jc w:val="both"/>
        <w:rPr>
          <w:rFonts w:ascii="Arial Narrow" w:eastAsiaTheme="minorEastAsia" w:hAnsi="Arial Narrow"/>
          <w:b/>
          <w:sz w:val="22"/>
          <w:szCs w:val="22"/>
          <w:lang w:val="es-BO" w:eastAsia="es-BO"/>
        </w:rPr>
      </w:pPr>
    </w:p>
    <w:p w:rsidR="004050D2" w:rsidRPr="004050D2" w:rsidRDefault="004050D2" w:rsidP="004050D2">
      <w:pPr>
        <w:pStyle w:val="Prrafodelista"/>
        <w:ind w:left="0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7" w:anchor="_Toc33626929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2.14</w:t>
        </w:r>
        <w:r w:rsidRPr="004050D2">
          <w:rPr>
            <w:rStyle w:val="Hipervnculo"/>
            <w:rFonts w:ascii="Arial Narrow" w:hAnsi="Arial Narrow"/>
            <w:color w:val="000000" w:themeColor="text1"/>
            <w:sz w:val="22"/>
            <w:szCs w:val="22"/>
            <w:u w:val="none"/>
            <w:lang w:val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Sub Almacenes no Considerados en el Sistema SIGMA</w:t>
        </w:r>
      </w:hyperlink>
    </w:p>
    <w:p w:rsidR="004050D2" w:rsidRPr="004050D2" w:rsidRDefault="004050D2" w:rsidP="004050D2">
      <w:pPr>
        <w:pStyle w:val="Prrafodelista"/>
        <w:ind w:left="0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8" w:anchor="_Toc33626932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2.17</w:t>
        </w:r>
        <w:r w:rsidRPr="004050D2">
          <w:rPr>
            <w:rStyle w:val="Hipervnculo"/>
            <w:rFonts w:ascii="Arial Narrow" w:hAnsi="Arial Narrow"/>
            <w:color w:val="000000" w:themeColor="text1"/>
            <w:sz w:val="22"/>
            <w:szCs w:val="22"/>
            <w:u w:val="none"/>
            <w:lang w:val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Falta de entrega de inventarios de Almacenes por el Personal a Contrato</w:t>
        </w:r>
      </w:hyperlink>
    </w:p>
    <w:p w:rsidR="004050D2" w:rsidRPr="004050D2" w:rsidRDefault="004050D2" w:rsidP="004050D2">
      <w:pPr>
        <w:pStyle w:val="Prrafodelista"/>
        <w:ind w:left="0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9" w:anchor="_Toc33626937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2.22</w:t>
        </w:r>
        <w:r w:rsidRPr="004050D2">
          <w:rPr>
            <w:rStyle w:val="Hipervnculo"/>
            <w:rFonts w:ascii="Arial Narrow" w:hAnsi="Arial Narrow"/>
            <w:color w:val="000000" w:themeColor="text1"/>
            <w:sz w:val="22"/>
            <w:szCs w:val="22"/>
            <w:u w:val="none"/>
            <w:lang w:val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Activos Fijos que no cuentan con Custodio</w:t>
        </w:r>
      </w:hyperlink>
    </w:p>
    <w:p w:rsidR="004050D2" w:rsidRPr="004050D2" w:rsidRDefault="004050D2" w:rsidP="004050D2">
      <w:pPr>
        <w:pStyle w:val="Prrafodelista"/>
        <w:ind w:left="0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10" w:anchor="_Toc33626948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2.34</w:t>
        </w:r>
        <w:r w:rsidRPr="004050D2">
          <w:rPr>
            <w:rStyle w:val="Hipervnculo"/>
            <w:rFonts w:ascii="Arial Narrow" w:hAnsi="Arial Narrow"/>
            <w:color w:val="000000" w:themeColor="text1"/>
            <w:sz w:val="22"/>
            <w:szCs w:val="22"/>
            <w:u w:val="none"/>
            <w:lang w:val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Errónea proyección en el Presupuesto de Recursos Propios</w:t>
        </w:r>
      </w:hyperlink>
    </w:p>
    <w:p w:rsidR="004050D2" w:rsidRPr="004050D2" w:rsidRDefault="004050D2" w:rsidP="004050D2">
      <w:pPr>
        <w:pStyle w:val="Prrafodelista"/>
        <w:ind w:left="0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11" w:anchor="_Toc33626955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2.41</w:t>
        </w:r>
        <w:r w:rsidRPr="004050D2">
          <w:rPr>
            <w:rStyle w:val="Hipervnculo"/>
            <w:rFonts w:ascii="Arial Narrow" w:eastAsiaTheme="minorEastAsia" w:hAnsi="Arial Narrow"/>
            <w:sz w:val="22"/>
            <w:szCs w:val="22"/>
            <w:u w:val="none"/>
            <w:lang w:val="es-BO" w:eastAsia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Atrasos No sancionados de acuerdo al Reglamento Interno</w:t>
        </w:r>
      </w:hyperlink>
    </w:p>
    <w:p w:rsidR="004050D2" w:rsidRPr="004050D2" w:rsidRDefault="004050D2" w:rsidP="004050D2">
      <w:pPr>
        <w:pStyle w:val="Prrafodelista"/>
        <w:ind w:left="0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12" w:anchor="_Toc33626957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2.43</w:t>
        </w:r>
        <w:r w:rsidRPr="004050D2">
          <w:rPr>
            <w:rStyle w:val="Hipervnculo"/>
            <w:rFonts w:ascii="Arial Narrow" w:hAnsi="Arial Narrow"/>
            <w:color w:val="000000" w:themeColor="text1"/>
            <w:sz w:val="22"/>
            <w:szCs w:val="22"/>
            <w:u w:val="none"/>
            <w:lang w:val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Inexistencia de publicación de los Formularios 400 y 500 en el SICOES por Contrataciones Menores</w:t>
        </w:r>
      </w:hyperlink>
    </w:p>
    <w:p w:rsidR="004050D2" w:rsidRPr="004050D2" w:rsidRDefault="004050D2" w:rsidP="004050D2">
      <w:pPr>
        <w:pStyle w:val="Prrafodelista"/>
        <w:ind w:left="0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13" w:anchor="_Toc33626958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2.44</w:t>
        </w:r>
        <w:r w:rsidRPr="004050D2">
          <w:rPr>
            <w:rStyle w:val="Hipervnculo"/>
            <w:rFonts w:ascii="Arial Narrow" w:hAnsi="Arial Narrow"/>
            <w:color w:val="000000" w:themeColor="text1"/>
            <w:sz w:val="22"/>
            <w:szCs w:val="22"/>
            <w:u w:val="none"/>
            <w:lang w:val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Pago de Alquileres sin Contrato ni Certificación del SENAPE</w:t>
        </w:r>
      </w:hyperlink>
    </w:p>
    <w:p w:rsidR="004050D2" w:rsidRPr="00EB645B" w:rsidRDefault="004050D2" w:rsidP="004050D2">
      <w:pPr>
        <w:jc w:val="both"/>
        <w:rPr>
          <w:rFonts w:ascii="Arial Narrow" w:eastAsiaTheme="minorEastAsia" w:hAnsi="Arial Narrow"/>
          <w:b/>
          <w:sz w:val="22"/>
          <w:szCs w:val="22"/>
          <w:lang w:val="es-BO" w:eastAsia="es-BO"/>
        </w:rPr>
      </w:pPr>
    </w:p>
    <w:p w:rsidR="004050D2" w:rsidRDefault="004050D2" w:rsidP="004050D2">
      <w:pPr>
        <w:jc w:val="both"/>
        <w:rPr>
          <w:rFonts w:ascii="Arial Narrow" w:eastAsiaTheme="minorEastAsia" w:hAnsi="Arial Narrow"/>
          <w:b/>
          <w:sz w:val="22"/>
          <w:szCs w:val="22"/>
          <w:lang w:val="es-BO" w:eastAsia="es-BO"/>
        </w:rPr>
      </w:pPr>
      <w:r w:rsidRPr="00EB645B">
        <w:rPr>
          <w:rFonts w:ascii="Arial Narrow" w:eastAsiaTheme="minorEastAsia" w:hAnsi="Arial Narrow"/>
          <w:b/>
          <w:sz w:val="22"/>
          <w:szCs w:val="22"/>
          <w:lang w:val="es-BO" w:eastAsia="es-BO"/>
        </w:rPr>
        <w:t>RECOMENDACIONES NO CUMLIDAS</w:t>
      </w:r>
    </w:p>
    <w:p w:rsidR="004050D2" w:rsidRPr="00EB645B" w:rsidRDefault="004050D2" w:rsidP="004050D2">
      <w:pPr>
        <w:jc w:val="both"/>
        <w:rPr>
          <w:rFonts w:ascii="Arial Narrow" w:eastAsiaTheme="minorEastAsia" w:hAnsi="Arial Narrow"/>
          <w:b/>
          <w:sz w:val="22"/>
          <w:szCs w:val="22"/>
          <w:lang w:val="es-BO" w:eastAsia="es-BO"/>
        </w:rPr>
      </w:pPr>
    </w:p>
    <w:p w:rsidR="004050D2" w:rsidRPr="004050D2" w:rsidRDefault="004050D2" w:rsidP="004050D2">
      <w:pPr>
        <w:pStyle w:val="Prrafodelista"/>
        <w:ind w:left="0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14" w:anchor="_Toc33626916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2.1</w:t>
        </w:r>
        <w:r w:rsidRPr="004050D2">
          <w:rPr>
            <w:rStyle w:val="Hipervnculo"/>
            <w:rFonts w:ascii="Arial Narrow" w:eastAsiaTheme="minorEastAsia" w:hAnsi="Arial Narrow"/>
            <w:noProof/>
            <w:sz w:val="22"/>
            <w:szCs w:val="22"/>
            <w:u w:val="none"/>
            <w:lang w:val="es-BO" w:eastAsia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Inexistencia de Código de Ética en el Gobierno Autónomo Municipal de Sucre</w:t>
        </w:r>
      </w:hyperlink>
    </w:p>
    <w:p w:rsidR="004050D2" w:rsidRPr="004050D2" w:rsidRDefault="004050D2" w:rsidP="004050D2">
      <w:pPr>
        <w:pStyle w:val="Prrafodelista"/>
        <w:ind w:left="0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15" w:anchor="_Toc33626917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2.2</w:t>
        </w:r>
        <w:r w:rsidRPr="004050D2">
          <w:rPr>
            <w:rStyle w:val="Hipervnculo"/>
            <w:rFonts w:ascii="Arial Narrow" w:eastAsiaTheme="minorEastAsia" w:hAnsi="Arial Narrow"/>
            <w:noProof/>
            <w:sz w:val="22"/>
            <w:szCs w:val="22"/>
            <w:u w:val="none"/>
            <w:lang w:val="es-BO" w:eastAsia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Incumplimiento del Art. 19 del Reglamento Específico del Sistema de Administración de Personal</w:t>
        </w:r>
      </w:hyperlink>
    </w:p>
    <w:p w:rsidR="004050D2" w:rsidRPr="004050D2" w:rsidRDefault="004050D2" w:rsidP="004050D2">
      <w:pPr>
        <w:pStyle w:val="Prrafodelista"/>
        <w:ind w:left="709" w:hanging="709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16" w:anchor="_Toc33626918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2.3</w:t>
        </w:r>
        <w:r w:rsidRPr="004050D2">
          <w:rPr>
            <w:rStyle w:val="Hipervnculo"/>
            <w:rFonts w:ascii="Arial Narrow" w:eastAsiaTheme="minorEastAsia" w:hAnsi="Arial Narrow"/>
            <w:noProof/>
            <w:sz w:val="22"/>
            <w:szCs w:val="22"/>
            <w:u w:val="none"/>
            <w:lang w:val="es-BO" w:eastAsia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Incumplimiento parcial de plazos del Cronograma de Cierre de Gestión Administrativa y Financiera del GAMS e Instructivo para el Cierre Presupuestario, Contable y de Tesorería de la Gestión Fiscal 2019</w:t>
        </w:r>
      </w:hyperlink>
    </w:p>
    <w:p w:rsidR="004050D2" w:rsidRPr="004050D2" w:rsidRDefault="004050D2" w:rsidP="004050D2">
      <w:pPr>
        <w:pStyle w:val="Prrafodelista"/>
        <w:ind w:left="0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17" w:anchor="_Toc33626919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2.4</w:t>
        </w:r>
        <w:r w:rsidRPr="004050D2">
          <w:rPr>
            <w:rStyle w:val="Hipervnculo"/>
            <w:rFonts w:ascii="Arial Narrow" w:eastAsiaTheme="minorEastAsia" w:hAnsi="Arial Narrow"/>
            <w:noProof/>
            <w:sz w:val="22"/>
            <w:szCs w:val="22"/>
            <w:u w:val="none"/>
            <w:lang w:val="es-BO" w:eastAsia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Falta de realización de Arqueos e Inventarios de Valores</w:t>
        </w:r>
      </w:hyperlink>
    </w:p>
    <w:p w:rsidR="004050D2" w:rsidRPr="004050D2" w:rsidRDefault="004050D2" w:rsidP="004050D2">
      <w:pPr>
        <w:pStyle w:val="Prrafodelista"/>
        <w:ind w:left="0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18" w:anchor="_Toc33626920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2.5</w:t>
        </w:r>
        <w:r w:rsidRPr="004050D2">
          <w:rPr>
            <w:rStyle w:val="Hipervnculo"/>
            <w:rFonts w:ascii="Arial Narrow" w:eastAsiaTheme="minorEastAsia" w:hAnsi="Arial Narrow"/>
            <w:noProof/>
            <w:sz w:val="22"/>
            <w:szCs w:val="22"/>
            <w:u w:val="none"/>
            <w:lang w:val="es-BO" w:eastAsia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Retraso considerable de Registro Contable de Ingreso de Recursos (C-21)</w:t>
        </w:r>
      </w:hyperlink>
    </w:p>
    <w:p w:rsidR="004050D2" w:rsidRPr="004050D2" w:rsidRDefault="004050D2" w:rsidP="004050D2">
      <w:pPr>
        <w:pStyle w:val="Prrafodelista"/>
        <w:ind w:left="709" w:hanging="709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19" w:anchor="_Toc33626921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2.6</w:t>
        </w:r>
        <w:r w:rsidRPr="004050D2">
          <w:rPr>
            <w:rStyle w:val="Hipervnculo"/>
            <w:rFonts w:ascii="Arial Narrow" w:eastAsiaTheme="minorEastAsia" w:hAnsi="Arial Narrow"/>
            <w:noProof/>
            <w:sz w:val="22"/>
            <w:szCs w:val="22"/>
            <w:u w:val="none"/>
            <w:lang w:val="es-BO" w:eastAsia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Documentación de respaldo insuficiente en la anulación de cheques administrados por la Jefatura de Tesorería</w:t>
        </w:r>
      </w:hyperlink>
    </w:p>
    <w:p w:rsidR="004050D2" w:rsidRPr="004050D2" w:rsidRDefault="004050D2" w:rsidP="004050D2">
      <w:pPr>
        <w:pStyle w:val="Prrafodelista"/>
        <w:ind w:left="709" w:hanging="709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20" w:anchor="_Toc33626922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ES_tradnl" w:eastAsia="es-ES"/>
          </w:rPr>
          <w:t>2.7</w:t>
        </w:r>
        <w:r w:rsidRPr="004050D2">
          <w:rPr>
            <w:rStyle w:val="Hipervnculo"/>
            <w:rFonts w:ascii="Arial Narrow" w:eastAsiaTheme="minorEastAsia" w:hAnsi="Arial Narrow"/>
            <w:noProof/>
            <w:sz w:val="22"/>
            <w:szCs w:val="22"/>
            <w:u w:val="none"/>
            <w:lang w:val="es-BO" w:eastAsia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ES_tradnl" w:eastAsia="es-ES"/>
          </w:rPr>
          <w:t>Falta de coordinación y acciones efectivas para la regularización de cuentas del activo exigible (Anticipos a corto Plazo, Otras cuentas por cobrar a largo plazo)</w:t>
        </w:r>
      </w:hyperlink>
      <w:r w:rsidRPr="004050D2">
        <w:rPr>
          <w:rFonts w:ascii="Arial Narrow" w:eastAsiaTheme="minorEastAsia" w:hAnsi="Arial Narrow"/>
          <w:noProof/>
          <w:sz w:val="22"/>
          <w:szCs w:val="22"/>
          <w:lang w:val="es-BO" w:eastAsia="es-BO"/>
        </w:rPr>
        <w:t xml:space="preserve"> </w:t>
      </w:r>
    </w:p>
    <w:p w:rsidR="004050D2" w:rsidRPr="004050D2" w:rsidRDefault="004050D2" w:rsidP="004050D2">
      <w:pPr>
        <w:pStyle w:val="Prrafodelista"/>
        <w:ind w:left="0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21" w:anchor="_Toc33626923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ES_tradnl" w:eastAsia="es-ES"/>
          </w:rPr>
          <w:t>2.8</w:t>
        </w:r>
        <w:r w:rsidRPr="004050D2">
          <w:rPr>
            <w:rStyle w:val="Hipervnculo"/>
            <w:rFonts w:ascii="Arial Narrow" w:eastAsiaTheme="minorEastAsia" w:hAnsi="Arial Narrow"/>
            <w:noProof/>
            <w:sz w:val="22"/>
            <w:szCs w:val="22"/>
            <w:u w:val="none"/>
            <w:lang w:val="es-BO" w:eastAsia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ES_tradnl" w:eastAsia="es-ES"/>
          </w:rPr>
          <w:t>Inapropiada aplicación de cuenta contable e inadecuado registro del beneficiario</w:t>
        </w:r>
      </w:hyperlink>
    </w:p>
    <w:p w:rsidR="004050D2" w:rsidRPr="004050D2" w:rsidRDefault="004050D2" w:rsidP="004050D2">
      <w:pPr>
        <w:pStyle w:val="Prrafodelista"/>
        <w:ind w:left="709" w:hanging="709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22" w:anchor="_Toc33626924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ES_tradnl" w:eastAsia="es-ES"/>
          </w:rPr>
          <w:t>2.9</w:t>
        </w:r>
        <w:r w:rsidRPr="004050D2">
          <w:rPr>
            <w:rStyle w:val="Hipervnculo"/>
            <w:rFonts w:ascii="Arial Narrow" w:eastAsiaTheme="minorEastAsia" w:hAnsi="Arial Narrow"/>
            <w:noProof/>
            <w:sz w:val="22"/>
            <w:szCs w:val="22"/>
            <w:u w:val="none"/>
            <w:lang w:val="es-BO" w:eastAsia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ES_tradnl" w:eastAsia="es-ES"/>
          </w:rPr>
          <w:t>Deudas por alquileres de Arbitrios Municipales (Exigible) no incorporados en los Registros y Estados Financieros del Gobierno Autónomo Municipal de Sucre</w:t>
        </w:r>
      </w:hyperlink>
    </w:p>
    <w:p w:rsidR="004050D2" w:rsidRPr="004050D2" w:rsidRDefault="004050D2" w:rsidP="004050D2">
      <w:pPr>
        <w:pStyle w:val="Prrafodelista"/>
        <w:ind w:left="0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23" w:anchor="_Toc33626925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2.10</w:t>
        </w:r>
        <w:r w:rsidRPr="004050D2">
          <w:rPr>
            <w:rStyle w:val="Hipervnculo"/>
            <w:rFonts w:ascii="Arial Narrow" w:eastAsiaTheme="minorEastAsia" w:hAnsi="Arial Narrow"/>
            <w:sz w:val="22"/>
            <w:szCs w:val="22"/>
            <w:u w:val="none"/>
            <w:lang w:val="es-BO" w:eastAsia="es-BO"/>
          </w:rPr>
          <w:t xml:space="preserve"> </w:t>
        </w:r>
        <w:r w:rsidRPr="004050D2">
          <w:rPr>
            <w:rStyle w:val="Hipervnculo"/>
            <w:rFonts w:ascii="Arial Narrow" w:eastAsiaTheme="minorEastAsia" w:hAnsi="Arial Narrow"/>
            <w:sz w:val="22"/>
            <w:szCs w:val="22"/>
            <w:u w:val="none"/>
            <w:lang w:val="es-BO" w:eastAsia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Inexistencia de un medio informático interno adecuado para el módulo de almacenes</w:t>
        </w:r>
      </w:hyperlink>
    </w:p>
    <w:p w:rsidR="004050D2" w:rsidRPr="004050D2" w:rsidRDefault="004050D2" w:rsidP="004050D2">
      <w:pPr>
        <w:pStyle w:val="Prrafodelista"/>
        <w:ind w:left="0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24" w:anchor="_Toc33626926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2.11</w:t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ab/>
          <w:t>Diferencias en los saldos físicos de Almacén (sobrantes y faltantes)</w:t>
        </w:r>
      </w:hyperlink>
    </w:p>
    <w:p w:rsidR="004050D2" w:rsidRPr="004050D2" w:rsidRDefault="004050D2" w:rsidP="004050D2">
      <w:pPr>
        <w:pStyle w:val="Prrafodelista"/>
        <w:ind w:left="705" w:hanging="705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25" w:anchor="_Toc33626927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MX"/>
          </w:rPr>
          <w:t>2.12</w:t>
        </w:r>
        <w:r w:rsidRPr="004050D2">
          <w:rPr>
            <w:rStyle w:val="Hipervnculo"/>
            <w:rFonts w:ascii="Arial Narrow" w:eastAsiaTheme="minorEastAsia" w:hAnsi="Arial Narrow"/>
            <w:sz w:val="22"/>
            <w:szCs w:val="22"/>
            <w:u w:val="none"/>
            <w:lang w:val="es-BO" w:eastAsia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MX"/>
          </w:rPr>
          <w:t>Ambientes inadecuados de los Sub Almacenes de Jefatura de De</w:t>
        </w:r>
        <w:r w:rsidRPr="004050D2">
          <w:rPr>
            <w:rStyle w:val="Hipervnculo"/>
            <w:rFonts w:ascii="Arial Narrow" w:hAnsi="Arial Narrow"/>
            <w:color w:val="000000" w:themeColor="text1"/>
            <w:sz w:val="22"/>
            <w:szCs w:val="22"/>
            <w:u w:val="none"/>
            <w:lang w:val="es-MX"/>
          </w:rPr>
          <w:t xml:space="preserve">portes y Dirección de Alumbrado   </w:t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MX"/>
          </w:rPr>
          <w:t>publico</w:t>
        </w:r>
      </w:hyperlink>
    </w:p>
    <w:p w:rsidR="004050D2" w:rsidRPr="004050D2" w:rsidRDefault="004050D2" w:rsidP="004050D2">
      <w:pPr>
        <w:pStyle w:val="Prrafodelista"/>
        <w:ind w:left="0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26" w:anchor="_Toc33626928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2.13</w:t>
        </w:r>
        <w:r w:rsidRPr="004050D2">
          <w:rPr>
            <w:rStyle w:val="Hipervnculo"/>
            <w:rFonts w:ascii="Arial Narrow" w:eastAsiaTheme="minorEastAsia" w:hAnsi="Arial Narrow"/>
            <w:sz w:val="22"/>
            <w:szCs w:val="22"/>
            <w:u w:val="none"/>
            <w:lang w:val="es-BO" w:eastAsia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Materiales en Sub Almacenes no registrados en el Inventario del sistema SIGMA</w:t>
        </w:r>
      </w:hyperlink>
    </w:p>
    <w:p w:rsidR="004050D2" w:rsidRPr="004050D2" w:rsidRDefault="004050D2" w:rsidP="004050D2">
      <w:pPr>
        <w:pStyle w:val="Prrafodelista"/>
        <w:ind w:left="0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27" w:anchor="_Toc33626930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2.15</w:t>
        </w:r>
        <w:r w:rsidRPr="004050D2">
          <w:rPr>
            <w:rStyle w:val="Hipervnculo"/>
            <w:rFonts w:ascii="Arial Narrow" w:hAnsi="Arial Narrow"/>
            <w:color w:val="000000" w:themeColor="text1"/>
            <w:sz w:val="22"/>
            <w:szCs w:val="22"/>
            <w:u w:val="none"/>
            <w:lang w:val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Existencia de artículos de Almacén, sin movimiento</w:t>
        </w:r>
      </w:hyperlink>
    </w:p>
    <w:p w:rsidR="004050D2" w:rsidRPr="004050D2" w:rsidRDefault="004050D2" w:rsidP="004050D2">
      <w:pPr>
        <w:pStyle w:val="Prrafodelista"/>
        <w:ind w:left="0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28" w:anchor="_Toc33626931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2.16</w:t>
        </w:r>
        <w:r w:rsidRPr="004050D2">
          <w:rPr>
            <w:rStyle w:val="Hipervnculo"/>
            <w:rFonts w:ascii="Arial Narrow" w:hAnsi="Arial Narrow"/>
            <w:color w:val="000000" w:themeColor="text1"/>
            <w:sz w:val="22"/>
            <w:szCs w:val="22"/>
            <w:u w:val="none"/>
            <w:lang w:val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Falta de un adecuado Formulario de Pedido Interno de Materiales</w:t>
        </w:r>
      </w:hyperlink>
    </w:p>
    <w:p w:rsidR="004050D2" w:rsidRPr="004050D2" w:rsidRDefault="004050D2" w:rsidP="004050D2">
      <w:pPr>
        <w:pStyle w:val="Prrafodelista"/>
        <w:ind w:left="709" w:hanging="709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29" w:anchor="_Toc33626933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2.18</w:t>
        </w:r>
        <w:r w:rsidRPr="004050D2">
          <w:rPr>
            <w:rStyle w:val="Hipervnculo"/>
            <w:rFonts w:ascii="Arial Narrow" w:hAnsi="Arial Narrow"/>
            <w:color w:val="000000" w:themeColor="text1"/>
            <w:sz w:val="22"/>
            <w:szCs w:val="22"/>
            <w:u w:val="none"/>
            <w:lang w:val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Títulos y Valores custodiados en la Unidad Organizacional distinta a la establecida en la normativa vigente</w:t>
        </w:r>
      </w:hyperlink>
    </w:p>
    <w:p w:rsidR="004050D2" w:rsidRPr="004050D2" w:rsidRDefault="004050D2" w:rsidP="004050D2">
      <w:pPr>
        <w:pStyle w:val="Prrafodelista"/>
        <w:ind w:left="709" w:hanging="709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30" w:anchor="_Toc33626934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2.19</w:t>
        </w:r>
        <w:r w:rsidRPr="004050D2">
          <w:rPr>
            <w:rStyle w:val="Hipervnculo"/>
            <w:rFonts w:ascii="Arial Narrow" w:eastAsiaTheme="minorEastAsia" w:hAnsi="Arial Narrow"/>
            <w:sz w:val="22"/>
            <w:szCs w:val="22"/>
            <w:u w:val="none"/>
            <w:lang w:val="es-BO" w:eastAsia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Regularizaciones de Derecho Propietario a favor del Gobierno Autónomo Municipal de Sucre no registrados en la Cuenta 1.2.3.2 Tierras y Terrenos</w:t>
        </w:r>
      </w:hyperlink>
    </w:p>
    <w:p w:rsidR="004050D2" w:rsidRPr="004050D2" w:rsidRDefault="004050D2" w:rsidP="004050D2">
      <w:pPr>
        <w:pStyle w:val="Prrafodelista"/>
        <w:ind w:left="0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31" w:anchor="_Toc33626935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2.20</w:t>
        </w:r>
        <w:r w:rsidRPr="004050D2">
          <w:rPr>
            <w:rStyle w:val="Hipervnculo"/>
            <w:rFonts w:ascii="Arial Narrow" w:eastAsiaTheme="minorEastAsia" w:hAnsi="Arial Narrow"/>
            <w:sz w:val="22"/>
            <w:szCs w:val="22"/>
            <w:u w:val="none"/>
            <w:lang w:val="es-BO" w:eastAsia="es-BO"/>
          </w:rPr>
          <w:t xml:space="preserve"> </w:t>
        </w:r>
        <w:r w:rsidRPr="004050D2">
          <w:rPr>
            <w:rStyle w:val="Hipervnculo"/>
            <w:rFonts w:ascii="Arial Narrow" w:eastAsiaTheme="minorEastAsia" w:hAnsi="Arial Narrow"/>
            <w:sz w:val="22"/>
            <w:szCs w:val="22"/>
            <w:u w:val="none"/>
            <w:lang w:val="es-BO" w:eastAsia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Error de registro en la Cuenta 1.2.3.2 Tierras y Terrenos</w:t>
        </w:r>
      </w:hyperlink>
    </w:p>
    <w:p w:rsidR="004050D2" w:rsidRPr="004050D2" w:rsidRDefault="004050D2" w:rsidP="004050D2">
      <w:pPr>
        <w:pStyle w:val="Prrafodelista"/>
        <w:ind w:left="0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32" w:anchor="_Toc33626936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2.21</w:t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ab/>
          <w:t>Donaciones recibidas no registradas por la Jefatura de Activos Fijos</w:t>
        </w:r>
      </w:hyperlink>
    </w:p>
    <w:p w:rsidR="004050D2" w:rsidRPr="004050D2" w:rsidRDefault="004050D2" w:rsidP="004050D2">
      <w:pPr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33" w:anchor="_Toc33626938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2.23</w:t>
        </w:r>
        <w:r w:rsidRPr="004050D2">
          <w:rPr>
            <w:rStyle w:val="Hipervnculo"/>
            <w:rFonts w:ascii="Arial Narrow" w:hAnsi="Arial Narrow"/>
            <w:color w:val="000000" w:themeColor="text1"/>
            <w:sz w:val="22"/>
            <w:szCs w:val="22"/>
            <w:u w:val="none"/>
            <w:lang w:val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Activos Fijos en Desuso y/o obsoletos no dados de baja</w:t>
        </w:r>
      </w:hyperlink>
    </w:p>
    <w:p w:rsidR="004050D2" w:rsidRPr="004050D2" w:rsidRDefault="004050D2" w:rsidP="004050D2">
      <w:pPr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34" w:anchor="_Toc33626939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2.24</w:t>
        </w:r>
        <w:r w:rsidRPr="004050D2">
          <w:rPr>
            <w:rStyle w:val="Hipervnculo"/>
            <w:rFonts w:ascii="Arial Narrow" w:hAnsi="Arial Narrow"/>
            <w:b/>
            <w:color w:val="000000" w:themeColor="text1"/>
            <w:sz w:val="22"/>
            <w:szCs w:val="22"/>
            <w:u w:val="none"/>
            <w:lang w:val="es-BO"/>
          </w:rPr>
          <w:t xml:space="preserve"> </w:t>
        </w:r>
        <w:r w:rsidRPr="004050D2">
          <w:rPr>
            <w:rStyle w:val="Hipervnculo"/>
            <w:rFonts w:ascii="Arial Narrow" w:hAnsi="Arial Narrow"/>
            <w:color w:val="000000" w:themeColor="text1"/>
            <w:sz w:val="22"/>
            <w:szCs w:val="22"/>
            <w:u w:val="none"/>
            <w:lang w:val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Inexistencia de Reglamento Interno para las Cuentas por Pagar a Corto Plazo y Largo Plazo</w:t>
        </w:r>
      </w:hyperlink>
    </w:p>
    <w:p w:rsidR="004050D2" w:rsidRPr="004050D2" w:rsidRDefault="004050D2" w:rsidP="004050D2">
      <w:pPr>
        <w:ind w:left="709" w:hanging="709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35" w:anchor="_Toc33626940" w:history="1">
        <w:r w:rsidRPr="004050D2">
          <w:rPr>
            <w:rStyle w:val="Hipervnculo"/>
            <w:rFonts w:ascii="Arial Narrow" w:eastAsia="Calibri" w:hAnsi="Arial Narrow"/>
            <w:b/>
            <w:noProof/>
            <w:color w:val="000000" w:themeColor="text1"/>
            <w:spacing w:val="-2"/>
            <w:sz w:val="22"/>
            <w:szCs w:val="22"/>
            <w:u w:val="none"/>
            <w:lang w:val="es-BO"/>
          </w:rPr>
          <w:t>2.25</w:t>
        </w:r>
        <w:r w:rsidRPr="004050D2">
          <w:rPr>
            <w:rStyle w:val="Hipervnculo"/>
            <w:rFonts w:ascii="Arial Narrow" w:eastAsia="Calibri" w:hAnsi="Arial Narrow"/>
            <w:b/>
            <w:color w:val="000000" w:themeColor="text1"/>
            <w:spacing w:val="-2"/>
            <w:sz w:val="22"/>
            <w:szCs w:val="22"/>
            <w:u w:val="none"/>
            <w:lang w:val="es-BO"/>
          </w:rPr>
          <w:t xml:space="preserve"> </w:t>
        </w:r>
        <w:r w:rsidRPr="004050D2">
          <w:rPr>
            <w:rStyle w:val="Hipervnculo"/>
            <w:rFonts w:ascii="Arial Narrow" w:eastAsia="Calibri" w:hAnsi="Arial Narrow"/>
            <w:color w:val="000000" w:themeColor="text1"/>
            <w:spacing w:val="-2"/>
            <w:sz w:val="22"/>
            <w:szCs w:val="22"/>
            <w:u w:val="none"/>
            <w:lang w:val="es-BO"/>
          </w:rPr>
          <w:tab/>
        </w:r>
        <w:r w:rsidRPr="004050D2">
          <w:rPr>
            <w:rStyle w:val="Hipervnculo"/>
            <w:rFonts w:ascii="Arial Narrow" w:eastAsia="Calibri" w:hAnsi="Arial Narrow"/>
            <w:noProof/>
            <w:color w:val="000000" w:themeColor="text1"/>
            <w:spacing w:val="-2"/>
            <w:sz w:val="22"/>
            <w:szCs w:val="22"/>
            <w:u w:val="none"/>
            <w:lang w:val="es-BO"/>
          </w:rPr>
          <w:t>Incumplimiento a los objetivos del Contrato de Préstamo N° 2664/BL-BO por parte de la Jefatura de Catastro</w:t>
        </w:r>
      </w:hyperlink>
    </w:p>
    <w:p w:rsidR="004050D2" w:rsidRPr="004050D2" w:rsidRDefault="004050D2" w:rsidP="004050D2">
      <w:pPr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36" w:anchor="_Toc33626941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ES_tradnl"/>
          </w:rPr>
          <w:t>2.26</w:t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ES_tradnl"/>
          </w:rPr>
          <w:tab/>
          <w:t>Falta de control y seguimiento oportuno de la Cuenta Pasivo a Largo Plazo</w:t>
        </w:r>
      </w:hyperlink>
    </w:p>
    <w:p w:rsidR="004050D2" w:rsidRPr="004050D2" w:rsidRDefault="004050D2" w:rsidP="004050D2">
      <w:pPr>
        <w:ind w:left="709" w:hanging="709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37" w:anchor="_Toc33626942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 w:eastAsia="es-ES"/>
          </w:rPr>
          <w:t>2.27</w:t>
        </w:r>
        <w:r w:rsidRPr="004050D2">
          <w:rPr>
            <w:rStyle w:val="Hipervnculo"/>
            <w:rFonts w:ascii="Arial Narrow" w:hAnsi="Arial Narrow"/>
            <w:color w:val="000000" w:themeColor="text1"/>
            <w:sz w:val="22"/>
            <w:szCs w:val="22"/>
            <w:u w:val="none"/>
            <w:lang w:val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 w:eastAsia="es-ES"/>
          </w:rPr>
          <w:t>Falta de un Reglamento y/o manual de preparación y remisión de documentación sobre Construcciones en Proceso</w:t>
        </w:r>
      </w:hyperlink>
    </w:p>
    <w:p w:rsidR="004050D2" w:rsidRPr="004050D2" w:rsidRDefault="004050D2" w:rsidP="004050D2">
      <w:pPr>
        <w:ind w:left="709" w:hanging="709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38" w:anchor="_Toc33626943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 w:eastAsia="es-ES"/>
          </w:rPr>
          <w:t>2.28</w:t>
        </w:r>
        <w:r w:rsidRPr="004050D2">
          <w:rPr>
            <w:rStyle w:val="Hipervnculo"/>
            <w:rFonts w:ascii="Arial Narrow" w:eastAsiaTheme="minorEastAsia" w:hAnsi="Arial Narrow"/>
            <w:sz w:val="22"/>
            <w:szCs w:val="22"/>
            <w:u w:val="none"/>
            <w:lang w:val="es-BO" w:eastAsia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 w:eastAsia="es-ES"/>
          </w:rPr>
          <w:t>Proyectos de Inversión Pública ejecutados de manera directa por la entidad en los cuales faltó coordinación entre las Unidades Ejecutoras y la Secretaria Municipal de Planificación para el Desarrollo</w:t>
        </w:r>
      </w:hyperlink>
    </w:p>
    <w:p w:rsidR="004050D2" w:rsidRPr="004050D2" w:rsidRDefault="004050D2" w:rsidP="004050D2">
      <w:pPr>
        <w:ind w:left="709" w:hanging="709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39" w:anchor="_Toc33626944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 w:eastAsia="es-ES"/>
          </w:rPr>
          <w:t>2.29</w:t>
        </w:r>
        <w:r w:rsidRPr="004050D2">
          <w:rPr>
            <w:rStyle w:val="Hipervnculo"/>
            <w:rFonts w:ascii="Arial Narrow" w:eastAsiaTheme="minorEastAsia" w:hAnsi="Arial Narrow"/>
            <w:noProof/>
            <w:sz w:val="22"/>
            <w:szCs w:val="22"/>
            <w:u w:val="none"/>
            <w:lang w:val="es-BO" w:eastAsia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Los</w:t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ES_tradnl"/>
          </w:rPr>
          <w:t xml:space="preserve"> </w:t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pacing w:val="-1"/>
            <w:sz w:val="22"/>
            <w:szCs w:val="22"/>
            <w:u w:val="none"/>
            <w:lang w:val="es-BO"/>
          </w:rPr>
          <w:t>i</w:t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pacing w:val="-3"/>
            <w:sz w:val="22"/>
            <w:szCs w:val="22"/>
            <w:u w:val="none"/>
            <w:lang w:val="es-BO"/>
          </w:rPr>
          <w:t>n</w:t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pacing w:val="3"/>
            <w:sz w:val="22"/>
            <w:szCs w:val="22"/>
            <w:u w:val="none"/>
            <w:lang w:val="es-BO"/>
          </w:rPr>
          <w:t>f</w:t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o</w:t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pacing w:val="-2"/>
            <w:sz w:val="22"/>
            <w:szCs w:val="22"/>
            <w:u w:val="none"/>
            <w:lang w:val="es-BO"/>
          </w:rPr>
          <w:t>rmes periódicos de los avances físicos financieros de las construcciones en Proceso y Obras concluidas presentados a la MAE, no cuentan con recomendaciones y/o sugerencias para una adecuada toma de decisiones</w:t>
        </w:r>
      </w:hyperlink>
    </w:p>
    <w:p w:rsidR="004050D2" w:rsidRPr="004050D2" w:rsidRDefault="004050D2" w:rsidP="004050D2">
      <w:pPr>
        <w:ind w:left="709" w:hanging="709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40" w:anchor="_Toc33626945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 w:eastAsia="es-ES"/>
          </w:rPr>
          <w:t>2.30</w:t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 w:eastAsia="es-ES"/>
          </w:rPr>
          <w:tab/>
          <w:t>Proyectos de Inversión Pública ejecutados por administración propia sin una norma que respalde su ejecución</w:t>
        </w:r>
      </w:hyperlink>
    </w:p>
    <w:p w:rsidR="004050D2" w:rsidRPr="004050D2" w:rsidRDefault="004050D2" w:rsidP="004050D2">
      <w:pPr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41" w:anchor="_Toc33626946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 w:eastAsia="es-ES"/>
          </w:rPr>
          <w:t>2.31</w:t>
        </w:r>
        <w:r w:rsidRPr="004050D2">
          <w:rPr>
            <w:rStyle w:val="Hipervnculo"/>
            <w:rFonts w:ascii="Arial Narrow" w:hAnsi="Arial Narrow"/>
            <w:color w:val="000000" w:themeColor="text1"/>
            <w:sz w:val="22"/>
            <w:szCs w:val="22"/>
            <w:u w:val="none"/>
            <w:lang w:val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 w:eastAsia="es-ES"/>
          </w:rPr>
          <w:t>Algunos instrumentos normativos internos con observación</w:t>
        </w:r>
      </w:hyperlink>
    </w:p>
    <w:p w:rsidR="004050D2" w:rsidRPr="004050D2" w:rsidRDefault="004050D2" w:rsidP="004050D2">
      <w:pPr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42" w:anchor="_Toc33626947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 w:eastAsia="es-ES"/>
          </w:rPr>
          <w:t>2.32</w:t>
        </w:r>
        <w:r w:rsidRPr="004050D2">
          <w:rPr>
            <w:rStyle w:val="Hipervnculo"/>
            <w:rFonts w:ascii="Arial Narrow" w:hAnsi="Arial Narrow"/>
            <w:color w:val="000000" w:themeColor="text1"/>
            <w:sz w:val="22"/>
            <w:szCs w:val="22"/>
            <w:u w:val="none"/>
            <w:lang w:val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 w:eastAsia="es-ES"/>
          </w:rPr>
          <w:t>La entidad no cuenta con Manual de Puestos</w:t>
        </w:r>
      </w:hyperlink>
    </w:p>
    <w:p w:rsidR="004050D2" w:rsidRPr="004050D2" w:rsidRDefault="004050D2" w:rsidP="004050D2">
      <w:pPr>
        <w:jc w:val="both"/>
        <w:rPr>
          <w:rFonts w:ascii="Arial Narrow" w:eastAsiaTheme="minorHAnsi" w:hAnsi="Arial Narrow"/>
          <w:sz w:val="22"/>
          <w:szCs w:val="22"/>
          <w:lang w:val="es-ES"/>
        </w:rPr>
      </w:pPr>
      <w:r w:rsidRPr="004050D2">
        <w:rPr>
          <w:rFonts w:ascii="Arial Narrow" w:hAnsi="Arial Narrow"/>
          <w:b/>
          <w:sz w:val="22"/>
          <w:szCs w:val="22"/>
          <w:lang w:val="es-BO"/>
        </w:rPr>
        <w:t>2.33</w:t>
      </w:r>
      <w:r w:rsidRPr="004050D2">
        <w:rPr>
          <w:rFonts w:ascii="Arial Narrow" w:hAnsi="Arial Narrow"/>
          <w:sz w:val="22"/>
          <w:szCs w:val="22"/>
          <w:lang w:val="es-BO"/>
        </w:rPr>
        <w:tab/>
        <w:t>Insuficiencia de información en los proyectos de Inversión Pública</w:t>
      </w:r>
    </w:p>
    <w:p w:rsidR="004050D2" w:rsidRPr="004050D2" w:rsidRDefault="004050D2" w:rsidP="004050D2">
      <w:pPr>
        <w:pStyle w:val="Prrafodelista"/>
        <w:ind w:left="709" w:hanging="709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43" w:anchor="_Toc33626949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2.35</w:t>
        </w:r>
        <w:r w:rsidRPr="004050D2">
          <w:rPr>
            <w:rStyle w:val="Hipervnculo"/>
            <w:rFonts w:ascii="Arial Narrow" w:hAnsi="Arial Narrow"/>
            <w:color w:val="000000" w:themeColor="text1"/>
            <w:sz w:val="22"/>
            <w:szCs w:val="22"/>
            <w:u w:val="none"/>
            <w:lang w:val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Recursos por concepto de multas y sanciones correspondientes al Control y Expendio de Bebidas Alcohólicas (Ley Nº 259), pendientes de disposición</w:t>
        </w:r>
      </w:hyperlink>
    </w:p>
    <w:p w:rsidR="004050D2" w:rsidRPr="004050D2" w:rsidRDefault="004050D2" w:rsidP="004050D2">
      <w:pPr>
        <w:pStyle w:val="Prrafodelista"/>
        <w:ind w:left="709" w:hanging="709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44" w:anchor="_Toc33626950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2.36</w:t>
        </w:r>
        <w:r w:rsidRPr="004050D2">
          <w:rPr>
            <w:rStyle w:val="Hipervnculo"/>
            <w:rFonts w:ascii="Arial Narrow" w:hAnsi="Arial Narrow"/>
            <w:color w:val="000000" w:themeColor="text1"/>
            <w:sz w:val="22"/>
            <w:szCs w:val="22"/>
            <w:u w:val="none"/>
            <w:lang w:val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Falta de clasificación adecuada de los recursos generados en el Rubro Tasas y Otros ingresos en el sistema RUAT</w:t>
        </w:r>
      </w:hyperlink>
    </w:p>
    <w:p w:rsidR="004050D2" w:rsidRPr="004050D2" w:rsidRDefault="004050D2" w:rsidP="004050D2">
      <w:pPr>
        <w:pStyle w:val="Prrafodelista"/>
        <w:ind w:left="0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45" w:anchor="_Toc33626951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2.37</w:t>
        </w:r>
        <w:r w:rsidRPr="004050D2">
          <w:rPr>
            <w:rStyle w:val="Hipervnculo"/>
            <w:rFonts w:ascii="Arial Narrow" w:hAnsi="Arial Narrow"/>
            <w:color w:val="000000" w:themeColor="text1"/>
            <w:sz w:val="22"/>
            <w:szCs w:val="22"/>
            <w:u w:val="none"/>
            <w:lang w:val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 xml:space="preserve">Falta de seguimiento y evaluación en </w:t>
        </w:r>
        <w:r w:rsidRPr="004050D2">
          <w:rPr>
            <w:rStyle w:val="Hipervnculo"/>
            <w:rFonts w:ascii="Arial Narrow" w:eastAsia="Calibri" w:hAnsi="Arial Narrow"/>
            <w:noProof/>
            <w:color w:val="000000" w:themeColor="text1"/>
            <w:sz w:val="22"/>
            <w:szCs w:val="22"/>
            <w:u w:val="none"/>
            <w:lang w:val="es-BO"/>
          </w:rPr>
          <w:t xml:space="preserve">la captación </w:t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de recursos</w:t>
        </w:r>
      </w:hyperlink>
    </w:p>
    <w:p w:rsidR="004050D2" w:rsidRPr="004050D2" w:rsidRDefault="004050D2" w:rsidP="004050D2">
      <w:pPr>
        <w:pStyle w:val="Prrafodelista"/>
        <w:ind w:left="0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46" w:anchor="_Toc33626952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2.38</w:t>
        </w:r>
        <w:r w:rsidRPr="004050D2">
          <w:rPr>
            <w:rStyle w:val="Hipervnculo"/>
            <w:rFonts w:ascii="Arial Narrow" w:hAnsi="Arial Narrow"/>
            <w:color w:val="000000" w:themeColor="text1"/>
            <w:sz w:val="22"/>
            <w:szCs w:val="22"/>
            <w:u w:val="none"/>
            <w:lang w:val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Falta de acciones legales de cobro por concepto de alquileres de edificios, tierras y terrenos</w:t>
        </w:r>
      </w:hyperlink>
    </w:p>
    <w:p w:rsidR="004050D2" w:rsidRPr="004050D2" w:rsidRDefault="004050D2" w:rsidP="004050D2">
      <w:pPr>
        <w:pStyle w:val="Prrafodelista"/>
        <w:ind w:left="0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47" w:anchor="_Toc33626953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2.39</w:t>
        </w:r>
        <w:r w:rsidRPr="004050D2">
          <w:rPr>
            <w:rStyle w:val="Hipervnculo"/>
            <w:rFonts w:ascii="Arial Narrow" w:hAnsi="Arial Narrow"/>
            <w:color w:val="000000" w:themeColor="text1"/>
            <w:sz w:val="22"/>
            <w:szCs w:val="22"/>
            <w:u w:val="none"/>
            <w:lang w:val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Falta de Reglamento de cobro de multas, sanciones e intereses en el rubro otros ingresos</w:t>
        </w:r>
      </w:hyperlink>
    </w:p>
    <w:p w:rsidR="004050D2" w:rsidRPr="004050D2" w:rsidRDefault="004050D2" w:rsidP="004050D2">
      <w:pPr>
        <w:pStyle w:val="Prrafodelista"/>
        <w:ind w:left="0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48" w:anchor="_Toc33626954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2.40</w:t>
        </w:r>
        <w:r w:rsidRPr="004050D2">
          <w:rPr>
            <w:rStyle w:val="Hipervnculo"/>
            <w:rFonts w:ascii="Arial Narrow" w:hAnsi="Arial Narrow"/>
            <w:color w:val="000000" w:themeColor="text1"/>
            <w:sz w:val="22"/>
            <w:szCs w:val="22"/>
            <w:u w:val="none"/>
            <w:lang w:val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Insuficiente documentación de respaldo en registros de recaudación por Tasa de Alumbrado Público</w:t>
        </w:r>
      </w:hyperlink>
      <w:r w:rsidRPr="004050D2">
        <w:rPr>
          <w:rFonts w:ascii="Arial Narrow" w:eastAsiaTheme="minorEastAsia" w:hAnsi="Arial Narrow"/>
          <w:noProof/>
          <w:sz w:val="22"/>
          <w:szCs w:val="22"/>
          <w:lang w:val="es-BO" w:eastAsia="es-BO"/>
        </w:rPr>
        <w:t xml:space="preserve"> </w:t>
      </w:r>
    </w:p>
    <w:p w:rsidR="004050D2" w:rsidRPr="004050D2" w:rsidRDefault="004050D2" w:rsidP="004050D2">
      <w:pPr>
        <w:pStyle w:val="Prrafodelista"/>
        <w:ind w:left="0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49" w:anchor="_Toc33626956" w:history="1">
        <w:r w:rsidRPr="004050D2">
          <w:rPr>
            <w:rStyle w:val="Hipervnculo"/>
            <w:rFonts w:ascii="Arial Narrow" w:eastAsia="Calibri" w:hAnsi="Arial Narrow"/>
            <w:b/>
            <w:noProof/>
            <w:color w:val="000000" w:themeColor="text1"/>
            <w:sz w:val="22"/>
            <w:szCs w:val="22"/>
            <w:u w:val="none"/>
            <w:lang w:val="es-BO" w:eastAsia="es-ES"/>
          </w:rPr>
          <w:t>2.42</w:t>
        </w:r>
        <w:r w:rsidRPr="004050D2">
          <w:rPr>
            <w:rStyle w:val="Hipervnculo"/>
            <w:rFonts w:ascii="Arial Narrow" w:eastAsia="Calibri" w:hAnsi="Arial Narrow"/>
            <w:color w:val="000000" w:themeColor="text1"/>
            <w:sz w:val="22"/>
            <w:szCs w:val="22"/>
            <w:u w:val="none"/>
            <w:lang w:val="es-BO"/>
          </w:rPr>
          <w:tab/>
        </w:r>
        <w:r w:rsidRPr="004050D2">
          <w:rPr>
            <w:rStyle w:val="Hipervnculo"/>
            <w:rFonts w:ascii="Arial Narrow" w:eastAsia="Calibri" w:hAnsi="Arial Narrow"/>
            <w:noProof/>
            <w:color w:val="000000" w:themeColor="text1"/>
            <w:sz w:val="22"/>
            <w:szCs w:val="22"/>
            <w:u w:val="none"/>
            <w:lang w:val="es-BO" w:eastAsia="es-ES"/>
          </w:rPr>
          <w:t>Ausencia de documentación en los files de personal</w:t>
        </w:r>
      </w:hyperlink>
    </w:p>
    <w:p w:rsidR="004050D2" w:rsidRPr="004050D2" w:rsidRDefault="004050D2" w:rsidP="004050D2">
      <w:pPr>
        <w:pStyle w:val="Prrafodelista"/>
        <w:ind w:left="0"/>
        <w:jc w:val="both"/>
        <w:rPr>
          <w:rStyle w:val="Hipervnculo"/>
          <w:rFonts w:ascii="Arial Narrow" w:hAnsi="Arial Narrow"/>
          <w:noProof/>
          <w:color w:val="000000" w:themeColor="text1"/>
          <w:sz w:val="22"/>
          <w:szCs w:val="22"/>
          <w:u w:val="none"/>
          <w:lang w:val="es-BO"/>
        </w:rPr>
      </w:pPr>
      <w:hyperlink r:id="rId50" w:anchor="_Toc33626959" w:history="1">
        <w:r w:rsidRPr="004050D2">
          <w:rPr>
            <w:rStyle w:val="Hipervnculo"/>
            <w:rFonts w:ascii="Arial Narrow" w:hAnsi="Arial Narrow"/>
            <w:b/>
            <w:noProof/>
            <w:color w:val="000000" w:themeColor="text1"/>
            <w:sz w:val="22"/>
            <w:szCs w:val="22"/>
            <w:u w:val="none"/>
            <w:lang w:val="es-BO"/>
          </w:rPr>
          <w:t>2.45</w:t>
        </w:r>
        <w:r w:rsidRPr="004050D2">
          <w:rPr>
            <w:rStyle w:val="Hipervnculo"/>
            <w:rFonts w:ascii="Arial Narrow" w:hAnsi="Arial Narrow"/>
            <w:color w:val="000000" w:themeColor="text1"/>
            <w:sz w:val="22"/>
            <w:szCs w:val="22"/>
            <w:u w:val="none"/>
            <w:lang w:val="es-BO"/>
          </w:rPr>
          <w:tab/>
        </w:r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Maquinaria y/o equipo pesado que se encuentra fuera de funcionamiento</w:t>
        </w:r>
      </w:hyperlink>
    </w:p>
    <w:p w:rsidR="004050D2" w:rsidRDefault="004050D2" w:rsidP="004050D2">
      <w:pPr>
        <w:pStyle w:val="Prrafodelista"/>
        <w:ind w:left="0"/>
        <w:jc w:val="both"/>
        <w:rPr>
          <w:rStyle w:val="Hipervnculo"/>
          <w:rFonts w:ascii="Arial Narrow" w:hAnsi="Arial Narrow"/>
          <w:noProof/>
          <w:color w:val="000000" w:themeColor="text1"/>
          <w:sz w:val="22"/>
          <w:szCs w:val="22"/>
          <w:lang w:val="es-BO"/>
        </w:rPr>
      </w:pPr>
    </w:p>
    <w:p w:rsidR="004050D2" w:rsidRPr="00E1398B" w:rsidRDefault="004050D2" w:rsidP="004050D2">
      <w:pPr>
        <w:jc w:val="both"/>
        <w:rPr>
          <w:rFonts w:ascii="Arial Narrow" w:hAnsi="Arial Narrow" w:cs="Courier New"/>
          <w:sz w:val="22"/>
          <w:szCs w:val="22"/>
          <w:lang w:val="es-BO"/>
        </w:rPr>
      </w:pPr>
      <w:r w:rsidRPr="00E1398B">
        <w:rPr>
          <w:rFonts w:ascii="Arial Narrow" w:hAnsi="Arial Narrow" w:cs="Courier New"/>
          <w:sz w:val="22"/>
          <w:szCs w:val="22"/>
          <w:lang w:val="es-BO"/>
        </w:rPr>
        <w:t>En relación al porcentaje de cumplimiento se tiene el siguiente resultado:</w:t>
      </w:r>
    </w:p>
    <w:p w:rsidR="004050D2" w:rsidRPr="00E1398B" w:rsidRDefault="004050D2" w:rsidP="004050D2">
      <w:pPr>
        <w:jc w:val="both"/>
        <w:rPr>
          <w:rFonts w:ascii="Arial Narrow" w:hAnsi="Arial Narrow" w:cs="Courier New"/>
          <w:sz w:val="22"/>
          <w:szCs w:val="22"/>
          <w:lang w:val="es-BO"/>
        </w:rPr>
      </w:pPr>
    </w:p>
    <w:p w:rsidR="004050D2" w:rsidRDefault="004050D2" w:rsidP="004050D2">
      <w:pPr>
        <w:jc w:val="center"/>
        <w:rPr>
          <w:rFonts w:ascii="Arial Narrow" w:hAnsi="Arial Narrow" w:cs="Courier New"/>
          <w:b/>
          <w:sz w:val="22"/>
          <w:szCs w:val="22"/>
          <w:lang w:val="es-BO"/>
        </w:rPr>
      </w:pPr>
      <w:r w:rsidRPr="00E1398B">
        <w:rPr>
          <w:rFonts w:ascii="Arial Narrow" w:hAnsi="Arial Narrow" w:cs="Courier New"/>
          <w:b/>
          <w:sz w:val="22"/>
          <w:szCs w:val="22"/>
          <w:lang w:val="es-BO"/>
        </w:rPr>
        <w:t>Cuadro de cumplimiento de Recomendaciones</w:t>
      </w:r>
    </w:p>
    <w:p w:rsidR="004050D2" w:rsidRPr="00E1398B" w:rsidRDefault="004050D2" w:rsidP="004050D2">
      <w:pPr>
        <w:jc w:val="center"/>
        <w:rPr>
          <w:rFonts w:ascii="Arial Narrow" w:hAnsi="Arial Narrow" w:cs="Courier New"/>
          <w:b/>
          <w:sz w:val="22"/>
          <w:szCs w:val="22"/>
          <w:lang w:val="es-B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83"/>
        <w:gridCol w:w="1811"/>
        <w:gridCol w:w="1596"/>
      </w:tblGrid>
      <w:tr w:rsidR="004050D2" w:rsidRPr="00E1398B" w:rsidTr="00DF0A59">
        <w:trPr>
          <w:jc w:val="center"/>
        </w:trPr>
        <w:tc>
          <w:tcPr>
            <w:tcW w:w="2283" w:type="dxa"/>
            <w:vAlign w:val="center"/>
          </w:tcPr>
          <w:p w:rsidR="004050D2" w:rsidRPr="00E1398B" w:rsidRDefault="004050D2" w:rsidP="00DF0A59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  <w:lang w:val="es-BO"/>
              </w:rPr>
            </w:pPr>
            <w:r w:rsidRPr="00E1398B">
              <w:rPr>
                <w:rFonts w:ascii="Arial Narrow" w:hAnsi="Arial Narrow" w:cs="Courier New"/>
                <w:b/>
                <w:sz w:val="22"/>
                <w:szCs w:val="22"/>
                <w:lang w:val="es-BO"/>
              </w:rPr>
              <w:t>Descripción</w:t>
            </w:r>
          </w:p>
        </w:tc>
        <w:tc>
          <w:tcPr>
            <w:tcW w:w="1751" w:type="dxa"/>
            <w:vAlign w:val="center"/>
          </w:tcPr>
          <w:p w:rsidR="004050D2" w:rsidRPr="00E1398B" w:rsidRDefault="004050D2" w:rsidP="00DF0A59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  <w:lang w:val="es-BO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  <w:lang w:val="es-BO"/>
              </w:rPr>
              <w:t>Nº de R</w:t>
            </w:r>
            <w:r w:rsidRPr="00E1398B">
              <w:rPr>
                <w:rFonts w:ascii="Arial Narrow" w:hAnsi="Arial Narrow" w:cs="Courier New"/>
                <w:b/>
                <w:sz w:val="22"/>
                <w:szCs w:val="22"/>
                <w:lang w:val="es-BO"/>
              </w:rPr>
              <w:t>ecomendaciones</w:t>
            </w:r>
          </w:p>
        </w:tc>
        <w:tc>
          <w:tcPr>
            <w:tcW w:w="1596" w:type="dxa"/>
            <w:vAlign w:val="center"/>
          </w:tcPr>
          <w:p w:rsidR="004050D2" w:rsidRPr="00E1398B" w:rsidRDefault="004050D2" w:rsidP="00DF0A59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  <w:lang w:val="es-BO"/>
              </w:rPr>
            </w:pPr>
            <w:r w:rsidRPr="00E1398B">
              <w:rPr>
                <w:rFonts w:ascii="Arial Narrow" w:hAnsi="Arial Narrow" w:cs="Courier New"/>
                <w:b/>
                <w:sz w:val="22"/>
                <w:szCs w:val="22"/>
                <w:lang w:val="es-BO"/>
              </w:rPr>
              <w:t xml:space="preserve">% de </w:t>
            </w:r>
            <w:r>
              <w:rPr>
                <w:rFonts w:ascii="Arial Narrow" w:hAnsi="Arial Narrow" w:cs="Courier New"/>
                <w:b/>
                <w:sz w:val="22"/>
                <w:szCs w:val="22"/>
                <w:lang w:val="es-BO"/>
              </w:rPr>
              <w:t>C</w:t>
            </w:r>
            <w:r w:rsidRPr="00E1398B">
              <w:rPr>
                <w:rFonts w:ascii="Arial Narrow" w:hAnsi="Arial Narrow" w:cs="Courier New"/>
                <w:b/>
                <w:sz w:val="22"/>
                <w:szCs w:val="22"/>
                <w:lang w:val="es-BO"/>
              </w:rPr>
              <w:t>umplimiento</w:t>
            </w:r>
          </w:p>
        </w:tc>
      </w:tr>
      <w:tr w:rsidR="004050D2" w:rsidRPr="00E1398B" w:rsidTr="00DF0A59">
        <w:trPr>
          <w:jc w:val="center"/>
        </w:trPr>
        <w:tc>
          <w:tcPr>
            <w:tcW w:w="2283" w:type="dxa"/>
          </w:tcPr>
          <w:p w:rsidR="004050D2" w:rsidRPr="00E1398B" w:rsidRDefault="004050D2" w:rsidP="00DF0A59">
            <w:pPr>
              <w:jc w:val="both"/>
              <w:rPr>
                <w:rFonts w:ascii="Arial Narrow" w:hAnsi="Arial Narrow" w:cs="Courier New"/>
                <w:sz w:val="22"/>
                <w:szCs w:val="22"/>
                <w:lang w:val="es-BO"/>
              </w:rPr>
            </w:pPr>
            <w:r w:rsidRPr="00E1398B">
              <w:rPr>
                <w:rFonts w:ascii="Arial Narrow" w:hAnsi="Arial Narrow" w:cs="Courier New"/>
                <w:sz w:val="22"/>
                <w:szCs w:val="22"/>
                <w:lang w:val="es-BO"/>
              </w:rPr>
              <w:t>Cumplidas</w:t>
            </w:r>
          </w:p>
        </w:tc>
        <w:tc>
          <w:tcPr>
            <w:tcW w:w="1751" w:type="dxa"/>
            <w:vAlign w:val="center"/>
          </w:tcPr>
          <w:p w:rsidR="004050D2" w:rsidRPr="00E1398B" w:rsidRDefault="004050D2" w:rsidP="00DF0A59">
            <w:pPr>
              <w:jc w:val="center"/>
              <w:rPr>
                <w:rFonts w:ascii="Arial Narrow" w:hAnsi="Arial Narrow" w:cs="Courier New"/>
                <w:sz w:val="22"/>
                <w:szCs w:val="22"/>
                <w:lang w:val="es-BO"/>
              </w:rPr>
            </w:pPr>
            <w:r w:rsidRPr="00E1398B">
              <w:rPr>
                <w:rFonts w:ascii="Arial Narrow" w:hAnsi="Arial Narrow" w:cs="Courier New"/>
                <w:sz w:val="22"/>
                <w:szCs w:val="22"/>
                <w:lang w:val="es-BO"/>
              </w:rPr>
              <w:t>7</w:t>
            </w:r>
          </w:p>
        </w:tc>
        <w:tc>
          <w:tcPr>
            <w:tcW w:w="1596" w:type="dxa"/>
            <w:vAlign w:val="center"/>
          </w:tcPr>
          <w:p w:rsidR="004050D2" w:rsidRPr="00E1398B" w:rsidRDefault="004050D2" w:rsidP="00DF0A59">
            <w:pPr>
              <w:jc w:val="center"/>
              <w:rPr>
                <w:rFonts w:ascii="Arial Narrow" w:hAnsi="Arial Narrow" w:cs="Courier New"/>
                <w:sz w:val="22"/>
                <w:szCs w:val="22"/>
                <w:lang w:val="es-BO"/>
              </w:rPr>
            </w:pPr>
            <w:r w:rsidRPr="00E1398B">
              <w:rPr>
                <w:rFonts w:ascii="Arial Narrow" w:hAnsi="Arial Narrow" w:cs="Courier New"/>
                <w:sz w:val="22"/>
                <w:szCs w:val="22"/>
                <w:lang w:val="es-BO"/>
              </w:rPr>
              <w:t>16</w:t>
            </w:r>
          </w:p>
        </w:tc>
      </w:tr>
      <w:tr w:rsidR="004050D2" w:rsidRPr="00E1398B" w:rsidTr="00DF0A59">
        <w:trPr>
          <w:jc w:val="center"/>
        </w:trPr>
        <w:tc>
          <w:tcPr>
            <w:tcW w:w="2283" w:type="dxa"/>
          </w:tcPr>
          <w:p w:rsidR="004050D2" w:rsidRPr="00E1398B" w:rsidRDefault="004050D2" w:rsidP="00DF0A59">
            <w:pPr>
              <w:jc w:val="both"/>
              <w:rPr>
                <w:rFonts w:ascii="Arial Narrow" w:hAnsi="Arial Narrow" w:cs="Courier New"/>
                <w:sz w:val="22"/>
                <w:szCs w:val="22"/>
                <w:lang w:val="es-BO"/>
              </w:rPr>
            </w:pPr>
            <w:r w:rsidRPr="00E1398B">
              <w:rPr>
                <w:rFonts w:ascii="Arial Narrow" w:hAnsi="Arial Narrow" w:cs="Courier New"/>
                <w:sz w:val="22"/>
                <w:szCs w:val="22"/>
                <w:lang w:val="es-BO"/>
              </w:rPr>
              <w:t>No cumplidas</w:t>
            </w:r>
          </w:p>
        </w:tc>
        <w:tc>
          <w:tcPr>
            <w:tcW w:w="1751" w:type="dxa"/>
            <w:vAlign w:val="center"/>
          </w:tcPr>
          <w:p w:rsidR="004050D2" w:rsidRPr="00E1398B" w:rsidRDefault="004050D2" w:rsidP="00DF0A59">
            <w:pPr>
              <w:jc w:val="center"/>
              <w:rPr>
                <w:rFonts w:ascii="Arial Narrow" w:hAnsi="Arial Narrow" w:cs="Courier New"/>
                <w:sz w:val="22"/>
                <w:szCs w:val="22"/>
                <w:lang w:val="es-BO"/>
              </w:rPr>
            </w:pPr>
            <w:r w:rsidRPr="00E1398B">
              <w:rPr>
                <w:rFonts w:ascii="Arial Narrow" w:hAnsi="Arial Narrow" w:cs="Courier New"/>
                <w:sz w:val="22"/>
                <w:szCs w:val="22"/>
                <w:lang w:val="es-BO"/>
              </w:rPr>
              <w:t>38</w:t>
            </w:r>
          </w:p>
        </w:tc>
        <w:tc>
          <w:tcPr>
            <w:tcW w:w="1596" w:type="dxa"/>
            <w:vAlign w:val="center"/>
          </w:tcPr>
          <w:p w:rsidR="004050D2" w:rsidRPr="00E1398B" w:rsidRDefault="004050D2" w:rsidP="00DF0A59">
            <w:pPr>
              <w:jc w:val="center"/>
              <w:rPr>
                <w:rFonts w:ascii="Arial Narrow" w:hAnsi="Arial Narrow" w:cs="Courier New"/>
                <w:sz w:val="22"/>
                <w:szCs w:val="22"/>
                <w:lang w:val="es-BO"/>
              </w:rPr>
            </w:pPr>
            <w:r w:rsidRPr="00E1398B">
              <w:rPr>
                <w:rFonts w:ascii="Arial Narrow" w:hAnsi="Arial Narrow" w:cs="Courier New"/>
                <w:sz w:val="22"/>
                <w:szCs w:val="22"/>
                <w:lang w:val="es-BO"/>
              </w:rPr>
              <w:t>84</w:t>
            </w:r>
          </w:p>
        </w:tc>
      </w:tr>
    </w:tbl>
    <w:p w:rsidR="004050D2" w:rsidRPr="00E1398B" w:rsidRDefault="004050D2" w:rsidP="004050D2">
      <w:pPr>
        <w:ind w:left="993" w:hanging="993"/>
        <w:jc w:val="both"/>
        <w:rPr>
          <w:rFonts w:ascii="Arial Narrow" w:hAnsi="Arial Narrow" w:cs="Courier New"/>
          <w:i/>
          <w:sz w:val="22"/>
          <w:szCs w:val="22"/>
          <w:lang w:val="es-BO"/>
        </w:rPr>
      </w:pPr>
      <w:r w:rsidRPr="00E1398B">
        <w:rPr>
          <w:rFonts w:ascii="Arial Narrow" w:hAnsi="Arial Narrow" w:cs="Courier New"/>
          <w:sz w:val="22"/>
          <w:szCs w:val="22"/>
          <w:lang w:val="es-BO"/>
        </w:rPr>
        <w:t xml:space="preserve">     </w:t>
      </w:r>
      <w:r>
        <w:rPr>
          <w:rFonts w:ascii="Arial Narrow" w:hAnsi="Arial Narrow" w:cs="Courier New"/>
          <w:sz w:val="22"/>
          <w:szCs w:val="22"/>
          <w:lang w:val="es-BO"/>
        </w:rPr>
        <w:tab/>
      </w:r>
      <w:r w:rsidRPr="00BA44E9">
        <w:rPr>
          <w:rFonts w:ascii="Arial Narrow" w:hAnsi="Arial Narrow" w:cs="Courier New"/>
          <w:sz w:val="18"/>
          <w:szCs w:val="22"/>
          <w:lang w:val="es-BO"/>
        </w:rPr>
        <w:t xml:space="preserve"> </w:t>
      </w:r>
      <w:r>
        <w:rPr>
          <w:rFonts w:ascii="Arial Narrow" w:hAnsi="Arial Narrow" w:cs="Courier New"/>
          <w:sz w:val="18"/>
          <w:szCs w:val="22"/>
          <w:lang w:val="es-BO"/>
        </w:rPr>
        <w:t xml:space="preserve">            </w:t>
      </w:r>
      <w:r w:rsidRPr="00BA44E9">
        <w:rPr>
          <w:rFonts w:ascii="Arial Narrow" w:hAnsi="Arial Narrow" w:cs="Courier New"/>
          <w:b/>
          <w:i/>
          <w:sz w:val="18"/>
          <w:szCs w:val="22"/>
          <w:lang w:val="es-BO"/>
        </w:rPr>
        <w:t>Fuente</w:t>
      </w:r>
      <w:r w:rsidRPr="00BA44E9">
        <w:rPr>
          <w:rFonts w:ascii="Arial Narrow" w:hAnsi="Arial Narrow" w:cs="Courier New"/>
          <w:i/>
          <w:sz w:val="18"/>
          <w:szCs w:val="22"/>
          <w:lang w:val="es-BO"/>
        </w:rPr>
        <w:t>: Documentación evaluada</w:t>
      </w:r>
    </w:p>
    <w:p w:rsidR="004050D2" w:rsidRPr="00EB645B" w:rsidRDefault="004050D2" w:rsidP="004050D2">
      <w:pPr>
        <w:pStyle w:val="Prrafodelista"/>
        <w:ind w:left="0"/>
        <w:jc w:val="both"/>
        <w:rPr>
          <w:rStyle w:val="Hipervnculo"/>
          <w:rFonts w:ascii="Arial Narrow" w:eastAsiaTheme="minorHAnsi" w:hAnsi="Arial Narrow"/>
          <w:color w:val="000000" w:themeColor="text1"/>
          <w:sz w:val="22"/>
          <w:szCs w:val="22"/>
          <w:lang w:val="es-ES"/>
        </w:rPr>
      </w:pPr>
    </w:p>
    <w:p w:rsidR="004050D2" w:rsidRPr="00EB645B" w:rsidRDefault="004050D2" w:rsidP="004050D2">
      <w:pPr>
        <w:jc w:val="both"/>
        <w:rPr>
          <w:rStyle w:val="Hipervnculo"/>
          <w:rFonts w:ascii="Arial Narrow" w:eastAsia="Calibri" w:hAnsi="Arial Narrow"/>
          <w:b/>
          <w:color w:val="000000" w:themeColor="text1"/>
          <w:sz w:val="22"/>
          <w:szCs w:val="22"/>
          <w:lang w:val="es-ES"/>
        </w:rPr>
      </w:pPr>
      <w:hyperlink r:id="rId51" w:anchor="_Toc33626960" w:history="1">
        <w:r w:rsidRPr="00EB645B">
          <w:rPr>
            <w:rStyle w:val="Hipervnculo"/>
            <w:rFonts w:ascii="Arial Narrow" w:eastAsia="Calibri" w:hAnsi="Arial Narrow"/>
            <w:b/>
            <w:noProof/>
            <w:color w:val="000000" w:themeColor="text1"/>
            <w:sz w:val="22"/>
            <w:szCs w:val="22"/>
            <w:lang w:val="es-BO"/>
          </w:rPr>
          <w:t>OBSERVACIONES RECURRENTES</w:t>
        </w:r>
      </w:hyperlink>
      <w:r w:rsidRPr="00EB645B">
        <w:rPr>
          <w:rStyle w:val="Hipervnculo"/>
          <w:rFonts w:ascii="Arial Narrow" w:eastAsia="Calibri" w:hAnsi="Arial Narrow"/>
          <w:b/>
          <w:noProof/>
          <w:color w:val="000000" w:themeColor="text1"/>
          <w:sz w:val="22"/>
          <w:szCs w:val="22"/>
          <w:lang w:val="es-BO"/>
        </w:rPr>
        <w:t xml:space="preserve"> NO CUMPLIDAS</w:t>
      </w:r>
    </w:p>
    <w:p w:rsidR="004050D2" w:rsidRPr="00EB645B" w:rsidRDefault="004050D2" w:rsidP="004050D2">
      <w:pPr>
        <w:jc w:val="both"/>
        <w:rPr>
          <w:rFonts w:ascii="Arial Narrow" w:eastAsiaTheme="minorEastAsia" w:hAnsi="Arial Narrow"/>
          <w:sz w:val="22"/>
          <w:szCs w:val="22"/>
          <w:lang w:val="es-BO" w:eastAsia="es-BO"/>
        </w:rPr>
      </w:pPr>
    </w:p>
    <w:p w:rsidR="004050D2" w:rsidRPr="004050D2" w:rsidRDefault="004050D2" w:rsidP="004050D2">
      <w:pPr>
        <w:pStyle w:val="Prrafodelista"/>
        <w:numPr>
          <w:ilvl w:val="0"/>
          <w:numId w:val="1"/>
        </w:numPr>
        <w:ind w:left="426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52" w:anchor="_Toc33626961" w:history="1"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Falta de acciones para la recuperación de Cuentas por Cobrar a Largo Plazo</w:t>
        </w:r>
      </w:hyperlink>
    </w:p>
    <w:p w:rsidR="004050D2" w:rsidRPr="004050D2" w:rsidRDefault="004050D2" w:rsidP="004050D2">
      <w:pPr>
        <w:pStyle w:val="Prrafodelista"/>
        <w:numPr>
          <w:ilvl w:val="0"/>
          <w:numId w:val="1"/>
        </w:numPr>
        <w:ind w:left="426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53" w:anchor="_Toc33626962" w:history="1"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Reglamento interno para el uso de vehículos oficiales del gobierno autónomo municipal de sucre no actualizado</w:t>
        </w:r>
      </w:hyperlink>
    </w:p>
    <w:p w:rsidR="004050D2" w:rsidRPr="004050D2" w:rsidRDefault="004050D2" w:rsidP="004050D2">
      <w:pPr>
        <w:pStyle w:val="Prrafodelista"/>
        <w:numPr>
          <w:ilvl w:val="0"/>
          <w:numId w:val="1"/>
        </w:numPr>
        <w:ind w:left="426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54" w:anchor="_Toc33626963" w:history="1"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Vehículos sin uso y registro de Responsables</w:t>
        </w:r>
      </w:hyperlink>
    </w:p>
    <w:p w:rsidR="004050D2" w:rsidRPr="004050D2" w:rsidRDefault="004050D2" w:rsidP="004050D2">
      <w:pPr>
        <w:pStyle w:val="Prrafodelista"/>
        <w:numPr>
          <w:ilvl w:val="0"/>
          <w:numId w:val="1"/>
        </w:numPr>
        <w:ind w:left="426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55" w:anchor="_Toc33626964" w:history="1"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Vehículos que no cuentan con documentación original de respaldo</w:t>
        </w:r>
      </w:hyperlink>
    </w:p>
    <w:p w:rsidR="004050D2" w:rsidRPr="004050D2" w:rsidRDefault="004050D2" w:rsidP="004050D2">
      <w:pPr>
        <w:pStyle w:val="Prrafodelista"/>
        <w:numPr>
          <w:ilvl w:val="0"/>
          <w:numId w:val="1"/>
        </w:numPr>
        <w:ind w:left="426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56" w:anchor="_Toc33626965" w:history="1"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Insuficiente control en ingresos y salidas de vehículos de los de garajes y parqueos de propiedad del G.A.M.S</w:t>
        </w:r>
      </w:hyperlink>
      <w:r w:rsidRPr="004050D2">
        <w:rPr>
          <w:rFonts w:ascii="Arial Narrow" w:eastAsiaTheme="minorEastAsia" w:hAnsi="Arial Narrow"/>
          <w:noProof/>
          <w:sz w:val="22"/>
          <w:szCs w:val="22"/>
          <w:lang w:val="es-BO" w:eastAsia="es-BO"/>
        </w:rPr>
        <w:t xml:space="preserve"> </w:t>
      </w:r>
    </w:p>
    <w:p w:rsidR="004050D2" w:rsidRPr="004050D2" w:rsidRDefault="004050D2" w:rsidP="004050D2">
      <w:pPr>
        <w:pStyle w:val="Prrafodelista"/>
        <w:numPr>
          <w:ilvl w:val="0"/>
          <w:numId w:val="1"/>
        </w:numPr>
        <w:ind w:left="426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57" w:anchor="_Toc33626966" w:history="1"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Construcciones de bienes de dominio privado sin documentación saneada</w:t>
        </w:r>
      </w:hyperlink>
    </w:p>
    <w:p w:rsidR="004050D2" w:rsidRPr="004050D2" w:rsidRDefault="004050D2" w:rsidP="004050D2">
      <w:pPr>
        <w:pStyle w:val="Prrafodelista"/>
        <w:numPr>
          <w:ilvl w:val="0"/>
          <w:numId w:val="1"/>
        </w:numPr>
        <w:ind w:left="426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58" w:anchor="_Toc33626967" w:history="1"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Saldos incorrectos expuestos en la Cuenta 1.2.5 Activo Intangible</w:t>
        </w:r>
      </w:hyperlink>
    </w:p>
    <w:p w:rsidR="004050D2" w:rsidRPr="004050D2" w:rsidRDefault="004050D2" w:rsidP="004050D2">
      <w:pPr>
        <w:pStyle w:val="Prrafodelista"/>
        <w:numPr>
          <w:ilvl w:val="0"/>
          <w:numId w:val="1"/>
        </w:numPr>
        <w:ind w:left="426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59" w:anchor="_Toc33626968" w:history="1"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Activos Intangibles no dados de baja</w:t>
        </w:r>
      </w:hyperlink>
    </w:p>
    <w:p w:rsidR="004050D2" w:rsidRPr="004050D2" w:rsidRDefault="004050D2" w:rsidP="004050D2">
      <w:pPr>
        <w:pStyle w:val="Prrafodelista"/>
        <w:numPr>
          <w:ilvl w:val="0"/>
          <w:numId w:val="1"/>
        </w:numPr>
        <w:ind w:left="426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60" w:anchor="_Toc33626969" w:history="1"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Adeudos a proveedores desde gestiones anteriores</w:t>
        </w:r>
      </w:hyperlink>
    </w:p>
    <w:p w:rsidR="004050D2" w:rsidRPr="004050D2" w:rsidRDefault="004050D2" w:rsidP="004050D2">
      <w:pPr>
        <w:pStyle w:val="Prrafodelista"/>
        <w:numPr>
          <w:ilvl w:val="0"/>
          <w:numId w:val="1"/>
        </w:numPr>
        <w:ind w:left="426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61" w:anchor="_Toc33626970" w:history="1"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Falta de control  en las confirmaciones  realizadas por la Jefatura de Contabilidad</w:t>
        </w:r>
      </w:hyperlink>
    </w:p>
    <w:p w:rsidR="004050D2" w:rsidRPr="004050D2" w:rsidRDefault="004050D2" w:rsidP="004050D2">
      <w:pPr>
        <w:pStyle w:val="Prrafodelista"/>
        <w:numPr>
          <w:ilvl w:val="0"/>
          <w:numId w:val="1"/>
        </w:numPr>
        <w:ind w:left="426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62" w:anchor="_Toc33626971" w:history="1"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Cuentas por Pagar No Identificadas</w:t>
        </w:r>
      </w:hyperlink>
    </w:p>
    <w:p w:rsidR="004050D2" w:rsidRPr="004050D2" w:rsidRDefault="004050D2" w:rsidP="004050D2">
      <w:pPr>
        <w:pStyle w:val="Prrafodelista"/>
        <w:numPr>
          <w:ilvl w:val="0"/>
          <w:numId w:val="1"/>
        </w:numPr>
        <w:ind w:left="426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63" w:anchor="_Toc33626972" w:history="1">
        <w:r w:rsidRPr="004050D2">
          <w:rPr>
            <w:rStyle w:val="Hipervnculo"/>
            <w:rFonts w:ascii="Arial Narrow" w:eastAsia="Calibri" w:hAnsi="Arial Narrow"/>
            <w:noProof/>
            <w:color w:val="000000" w:themeColor="text1"/>
            <w:sz w:val="22"/>
            <w:szCs w:val="22"/>
            <w:u w:val="none"/>
            <w:lang w:val="es-BO"/>
          </w:rPr>
          <w:t>Incumplimiento a la Ordenanza Municipal Nº 030/01</w:t>
        </w:r>
      </w:hyperlink>
    </w:p>
    <w:p w:rsidR="004050D2" w:rsidRPr="004050D2" w:rsidRDefault="004050D2" w:rsidP="004050D2">
      <w:pPr>
        <w:pStyle w:val="Prrafodelista"/>
        <w:numPr>
          <w:ilvl w:val="0"/>
          <w:numId w:val="1"/>
        </w:numPr>
        <w:ind w:left="426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64" w:anchor="_Toc33626973" w:history="1"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Falta de medidas de control a ingresos percibidos de los campos deportivos</w:t>
        </w:r>
        <w:r w:rsidRPr="004050D2">
          <w:rPr>
            <w:rStyle w:val="Hipervnculo"/>
            <w:rFonts w:ascii="Arial Narrow" w:hAnsi="Arial Narrow"/>
            <w:noProof/>
            <w:sz w:val="22"/>
            <w:szCs w:val="22"/>
            <w:u w:val="none"/>
            <w:lang w:val="es-BO"/>
          </w:rPr>
          <w:t xml:space="preserve"> </w:t>
        </w:r>
      </w:hyperlink>
    </w:p>
    <w:p w:rsidR="004050D2" w:rsidRPr="004050D2" w:rsidRDefault="004050D2" w:rsidP="004050D2">
      <w:pPr>
        <w:pStyle w:val="Prrafodelista"/>
        <w:numPr>
          <w:ilvl w:val="0"/>
          <w:numId w:val="1"/>
        </w:numPr>
        <w:ind w:left="426"/>
        <w:jc w:val="both"/>
        <w:rPr>
          <w:rFonts w:ascii="Arial Narrow" w:eastAsiaTheme="minorEastAsia" w:hAnsi="Arial Narrow"/>
          <w:noProof/>
          <w:sz w:val="22"/>
          <w:szCs w:val="22"/>
          <w:lang w:val="es-BO" w:eastAsia="es-BO"/>
        </w:rPr>
      </w:pPr>
      <w:hyperlink r:id="rId65" w:anchor="_Toc33626974" w:history="1"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Deficiente administración en la Villa Bolivariana</w:t>
        </w:r>
      </w:hyperlink>
    </w:p>
    <w:p w:rsidR="004050D2" w:rsidRPr="004050D2" w:rsidRDefault="004050D2" w:rsidP="004050D2">
      <w:pPr>
        <w:pStyle w:val="Prrafodelista"/>
        <w:numPr>
          <w:ilvl w:val="0"/>
          <w:numId w:val="1"/>
        </w:numPr>
        <w:ind w:left="426"/>
        <w:jc w:val="both"/>
        <w:rPr>
          <w:rStyle w:val="Hipervnculo"/>
          <w:rFonts w:ascii="Arial Narrow" w:hAnsi="Arial Narrow"/>
          <w:noProof/>
          <w:color w:val="000000" w:themeColor="text1"/>
          <w:sz w:val="22"/>
          <w:szCs w:val="22"/>
          <w:u w:val="none"/>
          <w:lang w:val="es-BO"/>
        </w:rPr>
      </w:pPr>
      <w:hyperlink r:id="rId66" w:anchor="_Toc33626975" w:history="1">
        <w:r w:rsidRPr="004050D2">
          <w:rPr>
            <w:rStyle w:val="Hipervnculo"/>
            <w:rFonts w:ascii="Arial Narrow" w:hAnsi="Arial Narrow"/>
            <w:noProof/>
            <w:color w:val="000000" w:themeColor="text1"/>
            <w:sz w:val="22"/>
            <w:szCs w:val="22"/>
            <w:u w:val="none"/>
            <w:lang w:val="es-BO"/>
          </w:rPr>
          <w:t>Multas y Sanciones determinadas por el PRAHS No efectivizadas</w:t>
        </w:r>
      </w:hyperlink>
    </w:p>
    <w:p w:rsidR="004050D2" w:rsidRPr="00EB645B" w:rsidRDefault="004050D2" w:rsidP="004050D2">
      <w:pPr>
        <w:pStyle w:val="Prrafodelista"/>
        <w:ind w:left="0"/>
        <w:jc w:val="both"/>
        <w:rPr>
          <w:rStyle w:val="Hipervnculo"/>
          <w:rFonts w:ascii="Arial Narrow" w:hAnsi="Arial Narrow"/>
          <w:noProof/>
          <w:color w:val="000000" w:themeColor="text1"/>
          <w:sz w:val="22"/>
          <w:szCs w:val="22"/>
          <w:lang w:val="es-BO"/>
        </w:rPr>
      </w:pPr>
    </w:p>
    <w:p w:rsidR="004050D2" w:rsidRPr="00E1398B" w:rsidRDefault="004050D2" w:rsidP="004050D2">
      <w:pPr>
        <w:jc w:val="both"/>
        <w:rPr>
          <w:rFonts w:ascii="Arial Narrow" w:hAnsi="Arial Narrow" w:cs="Courier New"/>
          <w:sz w:val="22"/>
          <w:szCs w:val="22"/>
          <w:lang w:val="es-BO"/>
        </w:rPr>
      </w:pPr>
      <w:r w:rsidRPr="00E1398B">
        <w:rPr>
          <w:rFonts w:ascii="Arial Narrow" w:hAnsi="Arial Narrow" w:cs="Courier New"/>
          <w:sz w:val="22"/>
          <w:szCs w:val="22"/>
          <w:lang w:val="es-BO"/>
        </w:rPr>
        <w:t>En relación al porcentaje de cumplimiento se tiene el siguiente resultado:</w:t>
      </w:r>
    </w:p>
    <w:p w:rsidR="004050D2" w:rsidRPr="00E1398B" w:rsidRDefault="004050D2" w:rsidP="004050D2">
      <w:pPr>
        <w:jc w:val="both"/>
        <w:rPr>
          <w:rFonts w:ascii="Arial Narrow" w:hAnsi="Arial Narrow" w:cs="Courier New"/>
          <w:sz w:val="22"/>
          <w:szCs w:val="22"/>
          <w:lang w:val="es-BO"/>
        </w:rPr>
      </w:pPr>
    </w:p>
    <w:p w:rsidR="004050D2" w:rsidRDefault="004050D2" w:rsidP="004050D2">
      <w:pPr>
        <w:jc w:val="center"/>
        <w:rPr>
          <w:rFonts w:ascii="Arial Narrow" w:hAnsi="Arial Narrow" w:cs="Courier New"/>
          <w:b/>
          <w:sz w:val="22"/>
          <w:szCs w:val="22"/>
          <w:lang w:val="es-BO"/>
        </w:rPr>
      </w:pPr>
      <w:r w:rsidRPr="00E1398B">
        <w:rPr>
          <w:rFonts w:ascii="Arial Narrow" w:hAnsi="Arial Narrow" w:cs="Courier New"/>
          <w:b/>
          <w:sz w:val="22"/>
          <w:szCs w:val="22"/>
          <w:lang w:val="es-BO"/>
        </w:rPr>
        <w:t>Cuadro de cumplimiento de Recomendaciones Recurrentes</w:t>
      </w:r>
    </w:p>
    <w:p w:rsidR="004050D2" w:rsidRPr="00E1398B" w:rsidRDefault="004050D2" w:rsidP="004050D2">
      <w:pPr>
        <w:jc w:val="center"/>
        <w:rPr>
          <w:rFonts w:ascii="Arial Narrow" w:hAnsi="Arial Narrow" w:cs="Courier New"/>
          <w:sz w:val="22"/>
          <w:szCs w:val="22"/>
          <w:lang w:val="es-B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41"/>
        <w:gridCol w:w="1843"/>
        <w:gridCol w:w="1701"/>
      </w:tblGrid>
      <w:tr w:rsidR="004050D2" w:rsidRPr="00E1398B" w:rsidTr="00DF0A59">
        <w:trPr>
          <w:jc w:val="center"/>
        </w:trPr>
        <w:tc>
          <w:tcPr>
            <w:tcW w:w="2141" w:type="dxa"/>
            <w:vAlign w:val="center"/>
          </w:tcPr>
          <w:p w:rsidR="004050D2" w:rsidRPr="00E1398B" w:rsidRDefault="004050D2" w:rsidP="00DF0A59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  <w:lang w:val="es-BO"/>
              </w:rPr>
            </w:pPr>
            <w:r w:rsidRPr="00E1398B">
              <w:rPr>
                <w:rFonts w:ascii="Arial Narrow" w:hAnsi="Arial Narrow" w:cs="Courier New"/>
                <w:b/>
                <w:sz w:val="22"/>
                <w:szCs w:val="22"/>
                <w:lang w:val="es-BO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4050D2" w:rsidRPr="00E1398B" w:rsidRDefault="004050D2" w:rsidP="00DF0A59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  <w:lang w:val="es-BO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  <w:lang w:val="es-BO"/>
              </w:rPr>
              <w:t>Nº de R</w:t>
            </w:r>
            <w:r w:rsidRPr="00E1398B">
              <w:rPr>
                <w:rFonts w:ascii="Arial Narrow" w:hAnsi="Arial Narrow" w:cs="Courier New"/>
                <w:b/>
                <w:sz w:val="22"/>
                <w:szCs w:val="22"/>
                <w:lang w:val="es-BO"/>
              </w:rPr>
              <w:t>ecomendaciones</w:t>
            </w:r>
          </w:p>
        </w:tc>
        <w:tc>
          <w:tcPr>
            <w:tcW w:w="1701" w:type="dxa"/>
            <w:vAlign w:val="center"/>
          </w:tcPr>
          <w:p w:rsidR="004050D2" w:rsidRPr="00E1398B" w:rsidRDefault="004050D2" w:rsidP="00DF0A59">
            <w:pPr>
              <w:jc w:val="center"/>
              <w:rPr>
                <w:rFonts w:ascii="Arial Narrow" w:hAnsi="Arial Narrow" w:cs="Courier New"/>
                <w:b/>
                <w:sz w:val="22"/>
                <w:szCs w:val="22"/>
                <w:lang w:val="es-BO"/>
              </w:rPr>
            </w:pPr>
            <w:r>
              <w:rPr>
                <w:rFonts w:ascii="Arial Narrow" w:hAnsi="Arial Narrow" w:cs="Courier New"/>
                <w:b/>
                <w:sz w:val="22"/>
                <w:szCs w:val="22"/>
                <w:lang w:val="es-BO"/>
              </w:rPr>
              <w:t>% de C</w:t>
            </w:r>
            <w:r w:rsidRPr="00E1398B">
              <w:rPr>
                <w:rFonts w:ascii="Arial Narrow" w:hAnsi="Arial Narrow" w:cs="Courier New"/>
                <w:b/>
                <w:sz w:val="22"/>
                <w:szCs w:val="22"/>
                <w:lang w:val="es-BO"/>
              </w:rPr>
              <w:t>umplimiento</w:t>
            </w:r>
          </w:p>
        </w:tc>
      </w:tr>
      <w:tr w:rsidR="004050D2" w:rsidRPr="00E1398B" w:rsidTr="00DF0A59">
        <w:trPr>
          <w:jc w:val="center"/>
        </w:trPr>
        <w:tc>
          <w:tcPr>
            <w:tcW w:w="2141" w:type="dxa"/>
          </w:tcPr>
          <w:p w:rsidR="004050D2" w:rsidRPr="00E1398B" w:rsidRDefault="004050D2" w:rsidP="00DF0A59">
            <w:pPr>
              <w:jc w:val="both"/>
              <w:rPr>
                <w:rFonts w:ascii="Arial Narrow" w:hAnsi="Arial Narrow" w:cs="Courier New"/>
                <w:sz w:val="22"/>
                <w:szCs w:val="22"/>
                <w:lang w:val="es-BO"/>
              </w:rPr>
            </w:pPr>
            <w:r w:rsidRPr="00E1398B">
              <w:rPr>
                <w:rFonts w:ascii="Arial Narrow" w:hAnsi="Arial Narrow" w:cs="Courier New"/>
                <w:sz w:val="22"/>
                <w:szCs w:val="22"/>
                <w:lang w:val="es-BO"/>
              </w:rPr>
              <w:t>Cumplidas</w:t>
            </w:r>
          </w:p>
        </w:tc>
        <w:tc>
          <w:tcPr>
            <w:tcW w:w="1843" w:type="dxa"/>
            <w:vAlign w:val="center"/>
          </w:tcPr>
          <w:p w:rsidR="004050D2" w:rsidRPr="00E1398B" w:rsidRDefault="004050D2" w:rsidP="00DF0A59">
            <w:pPr>
              <w:jc w:val="center"/>
              <w:rPr>
                <w:rFonts w:ascii="Arial Narrow" w:hAnsi="Arial Narrow" w:cs="Courier New"/>
                <w:sz w:val="22"/>
                <w:szCs w:val="22"/>
                <w:lang w:val="es-BO"/>
              </w:rPr>
            </w:pPr>
            <w:r w:rsidRPr="00E1398B">
              <w:rPr>
                <w:rFonts w:ascii="Arial Narrow" w:hAnsi="Arial Narrow" w:cs="Courier New"/>
                <w:sz w:val="22"/>
                <w:szCs w:val="22"/>
                <w:lang w:val="es-BO"/>
              </w:rPr>
              <w:t>0</w:t>
            </w:r>
          </w:p>
        </w:tc>
        <w:tc>
          <w:tcPr>
            <w:tcW w:w="1701" w:type="dxa"/>
            <w:vAlign w:val="center"/>
          </w:tcPr>
          <w:p w:rsidR="004050D2" w:rsidRPr="00E1398B" w:rsidRDefault="004050D2" w:rsidP="00DF0A59">
            <w:pPr>
              <w:jc w:val="center"/>
              <w:rPr>
                <w:rFonts w:ascii="Arial Narrow" w:hAnsi="Arial Narrow" w:cs="Courier New"/>
                <w:sz w:val="22"/>
                <w:szCs w:val="22"/>
                <w:lang w:val="es-BO"/>
              </w:rPr>
            </w:pPr>
            <w:r w:rsidRPr="00E1398B">
              <w:rPr>
                <w:rFonts w:ascii="Arial Narrow" w:hAnsi="Arial Narrow" w:cs="Courier New"/>
                <w:sz w:val="22"/>
                <w:szCs w:val="22"/>
                <w:lang w:val="es-BO"/>
              </w:rPr>
              <w:t>0</w:t>
            </w:r>
          </w:p>
        </w:tc>
      </w:tr>
      <w:tr w:rsidR="004050D2" w:rsidRPr="00E1398B" w:rsidTr="00DF0A59">
        <w:trPr>
          <w:jc w:val="center"/>
        </w:trPr>
        <w:tc>
          <w:tcPr>
            <w:tcW w:w="2141" w:type="dxa"/>
          </w:tcPr>
          <w:p w:rsidR="004050D2" w:rsidRPr="00E1398B" w:rsidRDefault="004050D2" w:rsidP="00DF0A59">
            <w:pPr>
              <w:jc w:val="both"/>
              <w:rPr>
                <w:rFonts w:ascii="Arial Narrow" w:hAnsi="Arial Narrow" w:cs="Courier New"/>
                <w:sz w:val="22"/>
                <w:szCs w:val="22"/>
                <w:lang w:val="es-BO"/>
              </w:rPr>
            </w:pPr>
            <w:r w:rsidRPr="00E1398B">
              <w:rPr>
                <w:rFonts w:ascii="Arial Narrow" w:hAnsi="Arial Narrow" w:cs="Courier New"/>
                <w:sz w:val="22"/>
                <w:szCs w:val="22"/>
                <w:lang w:val="es-BO"/>
              </w:rPr>
              <w:t>No cumplidas</w:t>
            </w:r>
          </w:p>
        </w:tc>
        <w:tc>
          <w:tcPr>
            <w:tcW w:w="1843" w:type="dxa"/>
            <w:vAlign w:val="center"/>
          </w:tcPr>
          <w:p w:rsidR="004050D2" w:rsidRPr="00E1398B" w:rsidRDefault="004050D2" w:rsidP="00DF0A59">
            <w:pPr>
              <w:jc w:val="center"/>
              <w:rPr>
                <w:rFonts w:ascii="Arial Narrow" w:hAnsi="Arial Narrow" w:cs="Courier New"/>
                <w:sz w:val="22"/>
                <w:szCs w:val="22"/>
                <w:lang w:val="es-BO"/>
              </w:rPr>
            </w:pPr>
            <w:r w:rsidRPr="00E1398B">
              <w:rPr>
                <w:rFonts w:ascii="Arial Narrow" w:hAnsi="Arial Narrow" w:cs="Courier New"/>
                <w:sz w:val="22"/>
                <w:szCs w:val="22"/>
                <w:lang w:val="es-BO"/>
              </w:rPr>
              <w:t>15</w:t>
            </w:r>
          </w:p>
        </w:tc>
        <w:tc>
          <w:tcPr>
            <w:tcW w:w="1701" w:type="dxa"/>
            <w:vAlign w:val="center"/>
          </w:tcPr>
          <w:p w:rsidR="004050D2" w:rsidRPr="00E1398B" w:rsidRDefault="004050D2" w:rsidP="00DF0A59">
            <w:pPr>
              <w:jc w:val="center"/>
              <w:rPr>
                <w:rFonts w:ascii="Arial Narrow" w:hAnsi="Arial Narrow" w:cs="Courier New"/>
                <w:sz w:val="22"/>
                <w:szCs w:val="22"/>
                <w:lang w:val="es-BO"/>
              </w:rPr>
            </w:pPr>
            <w:r w:rsidRPr="00E1398B">
              <w:rPr>
                <w:rFonts w:ascii="Arial Narrow" w:hAnsi="Arial Narrow" w:cs="Courier New"/>
                <w:sz w:val="22"/>
                <w:szCs w:val="22"/>
                <w:lang w:val="es-BO"/>
              </w:rPr>
              <w:t>100</w:t>
            </w:r>
          </w:p>
        </w:tc>
      </w:tr>
    </w:tbl>
    <w:p w:rsidR="004050D2" w:rsidRPr="00E1398B" w:rsidRDefault="004050D2" w:rsidP="004050D2">
      <w:pPr>
        <w:jc w:val="both"/>
        <w:rPr>
          <w:rFonts w:ascii="Arial Narrow" w:hAnsi="Arial Narrow" w:cs="Courier New"/>
          <w:sz w:val="22"/>
          <w:szCs w:val="22"/>
          <w:lang w:val="es-BO"/>
        </w:rPr>
      </w:pPr>
      <w:r>
        <w:rPr>
          <w:rFonts w:ascii="Arial Narrow" w:hAnsi="Arial Narrow" w:cs="Courier New"/>
          <w:b/>
          <w:i/>
          <w:sz w:val="18"/>
          <w:szCs w:val="22"/>
          <w:lang w:val="es-BO"/>
        </w:rPr>
        <w:t xml:space="preserve">                                      </w:t>
      </w:r>
      <w:r w:rsidRPr="00BA44E9">
        <w:rPr>
          <w:rFonts w:ascii="Arial Narrow" w:hAnsi="Arial Narrow" w:cs="Courier New"/>
          <w:b/>
          <w:i/>
          <w:sz w:val="18"/>
          <w:szCs w:val="22"/>
          <w:lang w:val="es-BO"/>
        </w:rPr>
        <w:t>Fuente</w:t>
      </w:r>
      <w:r w:rsidRPr="00BA44E9">
        <w:rPr>
          <w:rFonts w:ascii="Arial Narrow" w:hAnsi="Arial Narrow" w:cs="Courier New"/>
          <w:i/>
          <w:sz w:val="18"/>
          <w:szCs w:val="22"/>
          <w:lang w:val="es-BO"/>
        </w:rPr>
        <w:t>: Documentación evaluada</w:t>
      </w:r>
    </w:p>
    <w:p w:rsidR="004050D2" w:rsidRPr="00EB645B" w:rsidRDefault="004050D2" w:rsidP="004050D2">
      <w:pPr>
        <w:jc w:val="right"/>
        <w:rPr>
          <w:rFonts w:ascii="Arial Narrow" w:hAnsi="Arial Narrow"/>
          <w:noProof/>
          <w:sz w:val="22"/>
          <w:szCs w:val="22"/>
          <w:lang w:val="es-BO"/>
        </w:rPr>
      </w:pPr>
    </w:p>
    <w:p w:rsidR="004050D2" w:rsidRDefault="004050D2" w:rsidP="004050D2">
      <w:pPr>
        <w:pStyle w:val="Prrafodelista"/>
        <w:ind w:left="720"/>
        <w:jc w:val="center"/>
        <w:rPr>
          <w:rFonts w:ascii="Arial Narrow" w:hAnsi="Arial Narrow"/>
          <w:noProof/>
          <w:sz w:val="22"/>
          <w:szCs w:val="22"/>
          <w:lang w:val="es-BO"/>
        </w:rPr>
      </w:pPr>
    </w:p>
    <w:p w:rsidR="004050D2" w:rsidRDefault="004050D2" w:rsidP="004050D2">
      <w:pPr>
        <w:pStyle w:val="Prrafodelista"/>
        <w:ind w:left="720"/>
        <w:jc w:val="center"/>
        <w:rPr>
          <w:rFonts w:ascii="Arial Narrow" w:hAnsi="Arial Narrow"/>
          <w:noProof/>
          <w:sz w:val="22"/>
          <w:szCs w:val="22"/>
          <w:lang w:val="es-BO"/>
        </w:rPr>
      </w:pPr>
    </w:p>
    <w:p w:rsidR="004050D2" w:rsidRDefault="004050D2" w:rsidP="004050D2">
      <w:pPr>
        <w:pStyle w:val="Prrafodelista"/>
        <w:ind w:left="720"/>
        <w:jc w:val="center"/>
        <w:rPr>
          <w:rFonts w:ascii="Arial Narrow" w:hAnsi="Arial Narrow"/>
          <w:noProof/>
          <w:sz w:val="22"/>
          <w:szCs w:val="22"/>
          <w:lang w:val="es-BO"/>
        </w:rPr>
      </w:pPr>
    </w:p>
    <w:p w:rsidR="004050D2" w:rsidRDefault="004050D2" w:rsidP="004050D2">
      <w:pPr>
        <w:pStyle w:val="Prrafodelista"/>
        <w:ind w:left="720"/>
        <w:jc w:val="center"/>
        <w:rPr>
          <w:rFonts w:ascii="Arial Narrow" w:hAnsi="Arial Narrow"/>
          <w:noProof/>
          <w:sz w:val="22"/>
          <w:szCs w:val="22"/>
          <w:lang w:val="es-BO"/>
        </w:rPr>
      </w:pPr>
      <w:r>
        <w:rPr>
          <w:rFonts w:ascii="Arial Narrow" w:hAnsi="Arial Narrow"/>
          <w:noProof/>
          <w:sz w:val="22"/>
          <w:szCs w:val="22"/>
          <w:lang w:val="es-BO"/>
        </w:rPr>
        <w:t>S</w:t>
      </w:r>
      <w:r w:rsidRPr="00EB645B">
        <w:rPr>
          <w:rFonts w:ascii="Arial Narrow" w:hAnsi="Arial Narrow"/>
          <w:noProof/>
          <w:sz w:val="22"/>
          <w:szCs w:val="22"/>
          <w:lang w:val="es-BO"/>
        </w:rPr>
        <w:t>ucre, 26 de febrero de 2021</w:t>
      </w:r>
    </w:p>
    <w:p w:rsidR="00DB52C1" w:rsidRDefault="00DB52C1"/>
    <w:sectPr w:rsidR="00DB52C1" w:rsidSect="004050D2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4945"/>
    <w:multiLevelType w:val="hybridMultilevel"/>
    <w:tmpl w:val="24AA100E"/>
    <w:lvl w:ilvl="0" w:tplc="98BCF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F03C7"/>
    <w:multiLevelType w:val="hybridMultilevel"/>
    <w:tmpl w:val="29E8F7AE"/>
    <w:lvl w:ilvl="0" w:tplc="5B6EFF0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D2"/>
    <w:rsid w:val="004050D2"/>
    <w:rsid w:val="00DB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50D2"/>
    <w:pPr>
      <w:ind w:left="708"/>
    </w:pPr>
  </w:style>
  <w:style w:type="character" w:styleId="Hipervnculo">
    <w:name w:val="Hyperlink"/>
    <w:basedOn w:val="Fuentedeprrafopredeter"/>
    <w:uiPriority w:val="99"/>
    <w:semiHidden/>
    <w:unhideWhenUsed/>
    <w:rsid w:val="004050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050D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50D2"/>
    <w:pPr>
      <w:ind w:left="708"/>
    </w:pPr>
  </w:style>
  <w:style w:type="character" w:styleId="Hipervnculo">
    <w:name w:val="Hyperlink"/>
    <w:basedOn w:val="Fuentedeprrafopredeter"/>
    <w:uiPriority w:val="99"/>
    <w:semiHidden/>
    <w:unhideWhenUsed/>
    <w:rsid w:val="004050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050D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UDI\Downloads\RESUMEN-EJECUTIVO-OFICIAL%20(2).docx" TargetMode="External"/><Relationship Id="rId18" Type="http://schemas.openxmlformats.org/officeDocument/2006/relationships/hyperlink" Target="file:///C:\Users\AUDI\Downloads\RESUMEN-EJECUTIVO-OFICIAL%20(2).docx" TargetMode="External"/><Relationship Id="rId26" Type="http://schemas.openxmlformats.org/officeDocument/2006/relationships/hyperlink" Target="file:///C:\Users\AUDI\Downloads\RESUMEN-EJECUTIVO-OFICIAL%20(2).docx" TargetMode="External"/><Relationship Id="rId39" Type="http://schemas.openxmlformats.org/officeDocument/2006/relationships/hyperlink" Target="file:///C:\Users\AUDI\Downloads\RESUMEN-EJECUTIVO-OFICIAL%20(2).docx" TargetMode="External"/><Relationship Id="rId21" Type="http://schemas.openxmlformats.org/officeDocument/2006/relationships/hyperlink" Target="file:///C:\Users\AUDI\Downloads\RESUMEN-EJECUTIVO-OFICIAL%20(2).docx" TargetMode="External"/><Relationship Id="rId34" Type="http://schemas.openxmlformats.org/officeDocument/2006/relationships/hyperlink" Target="file:///C:\Users\AUDI\Downloads\RESUMEN-EJECUTIVO-OFICIAL%20(2).docx" TargetMode="External"/><Relationship Id="rId42" Type="http://schemas.openxmlformats.org/officeDocument/2006/relationships/hyperlink" Target="file:///C:\Users\AUDI\Downloads\RESUMEN-EJECUTIVO-OFICIAL%20(2).docx" TargetMode="External"/><Relationship Id="rId47" Type="http://schemas.openxmlformats.org/officeDocument/2006/relationships/hyperlink" Target="file:///C:\Users\AUDI\Downloads\RESUMEN-EJECUTIVO-OFICIAL%20(2).docx" TargetMode="External"/><Relationship Id="rId50" Type="http://schemas.openxmlformats.org/officeDocument/2006/relationships/hyperlink" Target="file:///C:\Users\AUDI\Downloads\RESUMEN-EJECUTIVO-OFICIAL%20(2).docx" TargetMode="External"/><Relationship Id="rId55" Type="http://schemas.openxmlformats.org/officeDocument/2006/relationships/hyperlink" Target="file:///C:\Users\AUDI\Downloads\RESUMEN-EJECUTIVO-OFICIAL%20(2).docx" TargetMode="External"/><Relationship Id="rId63" Type="http://schemas.openxmlformats.org/officeDocument/2006/relationships/hyperlink" Target="file:///C:\Users\AUDI\Downloads\RESUMEN-EJECUTIVO-OFICIAL%20(2).docx" TargetMode="External"/><Relationship Id="rId68" Type="http://schemas.openxmlformats.org/officeDocument/2006/relationships/theme" Target="theme/theme1.xml"/><Relationship Id="rId7" Type="http://schemas.openxmlformats.org/officeDocument/2006/relationships/hyperlink" Target="file:///C:\Users\AUDI\Downloads\RESUMEN-EJECUTIVO-OFICIAL%20(2)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UDI\Downloads\RESUMEN-EJECUTIVO-OFICIAL%20(2).docx" TargetMode="External"/><Relationship Id="rId29" Type="http://schemas.openxmlformats.org/officeDocument/2006/relationships/hyperlink" Target="file:///C:\Users\AUDI\Downloads\RESUMEN-EJECUTIVO-OFICIAL%20(2)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AUDI\Downloads\RESUMEN-EJECUTIVO-OFICIAL%20(2).docx" TargetMode="External"/><Relationship Id="rId11" Type="http://schemas.openxmlformats.org/officeDocument/2006/relationships/hyperlink" Target="file:///C:\Users\AUDI\Downloads\RESUMEN-EJECUTIVO-OFICIAL%20(2).docx" TargetMode="External"/><Relationship Id="rId24" Type="http://schemas.openxmlformats.org/officeDocument/2006/relationships/hyperlink" Target="file:///C:\Users\AUDI\Downloads\RESUMEN-EJECUTIVO-OFICIAL%20(2).docx" TargetMode="External"/><Relationship Id="rId32" Type="http://schemas.openxmlformats.org/officeDocument/2006/relationships/hyperlink" Target="file:///C:\Users\AUDI\Downloads\RESUMEN-EJECUTIVO-OFICIAL%20(2).docx" TargetMode="External"/><Relationship Id="rId37" Type="http://schemas.openxmlformats.org/officeDocument/2006/relationships/hyperlink" Target="file:///C:\Users\AUDI\Downloads\RESUMEN-EJECUTIVO-OFICIAL%20(2).docx" TargetMode="External"/><Relationship Id="rId40" Type="http://schemas.openxmlformats.org/officeDocument/2006/relationships/hyperlink" Target="file:///C:\Users\AUDI\Downloads\RESUMEN-EJECUTIVO-OFICIAL%20(2).docx" TargetMode="External"/><Relationship Id="rId45" Type="http://schemas.openxmlformats.org/officeDocument/2006/relationships/hyperlink" Target="file:///C:\Users\AUDI\Downloads\RESUMEN-EJECUTIVO-OFICIAL%20(2).docx" TargetMode="External"/><Relationship Id="rId53" Type="http://schemas.openxmlformats.org/officeDocument/2006/relationships/hyperlink" Target="file:///C:\Users\AUDI\Downloads\RESUMEN-EJECUTIVO-OFICIAL%20(2).docx" TargetMode="External"/><Relationship Id="rId58" Type="http://schemas.openxmlformats.org/officeDocument/2006/relationships/hyperlink" Target="file:///C:\Users\AUDI\Downloads\RESUMEN-EJECUTIVO-OFICIAL%20(2).docx" TargetMode="External"/><Relationship Id="rId66" Type="http://schemas.openxmlformats.org/officeDocument/2006/relationships/hyperlink" Target="file:///C:\Users\AUDI\Downloads\RESUMEN-EJECUTIVO-OFICIAL%20(2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UDI\Downloads\RESUMEN-EJECUTIVO-OFICIAL%20(2).docx" TargetMode="External"/><Relationship Id="rId23" Type="http://schemas.openxmlformats.org/officeDocument/2006/relationships/hyperlink" Target="file:///C:\Users\AUDI\Downloads\RESUMEN-EJECUTIVO-OFICIAL%20(2).docx" TargetMode="External"/><Relationship Id="rId28" Type="http://schemas.openxmlformats.org/officeDocument/2006/relationships/hyperlink" Target="file:///C:\Users\AUDI\Downloads\RESUMEN-EJECUTIVO-OFICIAL%20(2).docx" TargetMode="External"/><Relationship Id="rId36" Type="http://schemas.openxmlformats.org/officeDocument/2006/relationships/hyperlink" Target="file:///C:\Users\AUDI\Downloads\RESUMEN-EJECUTIVO-OFICIAL%20(2).docx" TargetMode="External"/><Relationship Id="rId49" Type="http://schemas.openxmlformats.org/officeDocument/2006/relationships/hyperlink" Target="file:///C:\Users\AUDI\Downloads\RESUMEN-EJECUTIVO-OFICIAL%20(2).docx" TargetMode="External"/><Relationship Id="rId57" Type="http://schemas.openxmlformats.org/officeDocument/2006/relationships/hyperlink" Target="file:///C:\Users\AUDI\Downloads\RESUMEN-EJECUTIVO-OFICIAL%20(2).docx" TargetMode="External"/><Relationship Id="rId61" Type="http://schemas.openxmlformats.org/officeDocument/2006/relationships/hyperlink" Target="file:///C:\Users\AUDI\Downloads\RESUMEN-EJECUTIVO-OFICIAL%20(2).docx" TargetMode="External"/><Relationship Id="rId10" Type="http://schemas.openxmlformats.org/officeDocument/2006/relationships/hyperlink" Target="file:///C:\Users\AUDI\Downloads\RESUMEN-EJECUTIVO-OFICIAL%20(2).docx" TargetMode="External"/><Relationship Id="rId19" Type="http://schemas.openxmlformats.org/officeDocument/2006/relationships/hyperlink" Target="file:///C:\Users\AUDI\Downloads\RESUMEN-EJECUTIVO-OFICIAL%20(2).docx" TargetMode="External"/><Relationship Id="rId31" Type="http://schemas.openxmlformats.org/officeDocument/2006/relationships/hyperlink" Target="file:///C:\Users\AUDI\Downloads\RESUMEN-EJECUTIVO-OFICIAL%20(2).docx" TargetMode="External"/><Relationship Id="rId44" Type="http://schemas.openxmlformats.org/officeDocument/2006/relationships/hyperlink" Target="file:///C:\Users\AUDI\Downloads\RESUMEN-EJECUTIVO-OFICIAL%20(2).docx" TargetMode="External"/><Relationship Id="rId52" Type="http://schemas.openxmlformats.org/officeDocument/2006/relationships/hyperlink" Target="file:///C:\Users\AUDI\Downloads\RESUMEN-EJECUTIVO-OFICIAL%20(2).docx" TargetMode="External"/><Relationship Id="rId60" Type="http://schemas.openxmlformats.org/officeDocument/2006/relationships/hyperlink" Target="file:///C:\Users\AUDI\Downloads\RESUMEN-EJECUTIVO-OFICIAL%20(2).docx" TargetMode="External"/><Relationship Id="rId65" Type="http://schemas.openxmlformats.org/officeDocument/2006/relationships/hyperlink" Target="file:///C:\Users\AUDI\Downloads\RESUMEN-EJECUTIVO-OFICIAL%20(2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UDI\Downloads\RESUMEN-EJECUTIVO-OFICIAL%20(2).docx" TargetMode="External"/><Relationship Id="rId14" Type="http://schemas.openxmlformats.org/officeDocument/2006/relationships/hyperlink" Target="file:///C:\Users\AUDI\Downloads\RESUMEN-EJECUTIVO-OFICIAL%20(2).docx" TargetMode="External"/><Relationship Id="rId22" Type="http://schemas.openxmlformats.org/officeDocument/2006/relationships/hyperlink" Target="file:///C:\Users\AUDI\Downloads\RESUMEN-EJECUTIVO-OFICIAL%20(2).docx" TargetMode="External"/><Relationship Id="rId27" Type="http://schemas.openxmlformats.org/officeDocument/2006/relationships/hyperlink" Target="file:///C:\Users\AUDI\Downloads\RESUMEN-EJECUTIVO-OFICIAL%20(2).docx" TargetMode="External"/><Relationship Id="rId30" Type="http://schemas.openxmlformats.org/officeDocument/2006/relationships/hyperlink" Target="file:///C:\Users\AUDI\Downloads\RESUMEN-EJECUTIVO-OFICIAL%20(2).docx" TargetMode="External"/><Relationship Id="rId35" Type="http://schemas.openxmlformats.org/officeDocument/2006/relationships/hyperlink" Target="file:///C:\Users\AUDI\Downloads\RESUMEN-EJECUTIVO-OFICIAL%20(2).docx" TargetMode="External"/><Relationship Id="rId43" Type="http://schemas.openxmlformats.org/officeDocument/2006/relationships/hyperlink" Target="file:///C:\Users\AUDI\Downloads\RESUMEN-EJECUTIVO-OFICIAL%20(2).docx" TargetMode="External"/><Relationship Id="rId48" Type="http://schemas.openxmlformats.org/officeDocument/2006/relationships/hyperlink" Target="file:///C:\Users\AUDI\Downloads\RESUMEN-EJECUTIVO-OFICIAL%20(2).docx" TargetMode="External"/><Relationship Id="rId56" Type="http://schemas.openxmlformats.org/officeDocument/2006/relationships/hyperlink" Target="file:///C:\Users\AUDI\Downloads\RESUMEN-EJECUTIVO-OFICIAL%20(2).docx" TargetMode="External"/><Relationship Id="rId64" Type="http://schemas.openxmlformats.org/officeDocument/2006/relationships/hyperlink" Target="file:///C:\Users\AUDI\Downloads\RESUMEN-EJECUTIVO-OFICIAL%20(2).docx" TargetMode="External"/><Relationship Id="rId8" Type="http://schemas.openxmlformats.org/officeDocument/2006/relationships/hyperlink" Target="file:///C:\Users\AUDI\Downloads\RESUMEN-EJECUTIVO-OFICIAL%20(2).docx" TargetMode="External"/><Relationship Id="rId51" Type="http://schemas.openxmlformats.org/officeDocument/2006/relationships/hyperlink" Target="file:///C:\Users\AUDI\Downloads\RESUMEN-EJECUTIVO-OFICIAL%20(2)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AUDI\Downloads\RESUMEN-EJECUTIVO-OFICIAL%20(2).docx" TargetMode="External"/><Relationship Id="rId17" Type="http://schemas.openxmlformats.org/officeDocument/2006/relationships/hyperlink" Target="file:///C:\Users\AUDI\Downloads\RESUMEN-EJECUTIVO-OFICIAL%20(2).docx" TargetMode="External"/><Relationship Id="rId25" Type="http://schemas.openxmlformats.org/officeDocument/2006/relationships/hyperlink" Target="file:///C:\Users\AUDI\Downloads\RESUMEN-EJECUTIVO-OFICIAL%20(2).docx" TargetMode="External"/><Relationship Id="rId33" Type="http://schemas.openxmlformats.org/officeDocument/2006/relationships/hyperlink" Target="file:///C:\Users\AUDI\Downloads\RESUMEN-EJECUTIVO-OFICIAL%20(2).docx" TargetMode="External"/><Relationship Id="rId38" Type="http://schemas.openxmlformats.org/officeDocument/2006/relationships/hyperlink" Target="file:///C:\Users\AUDI\Downloads\RESUMEN-EJECUTIVO-OFICIAL%20(2).docx" TargetMode="External"/><Relationship Id="rId46" Type="http://schemas.openxmlformats.org/officeDocument/2006/relationships/hyperlink" Target="file:///C:\Users\AUDI\Downloads\RESUMEN-EJECUTIVO-OFICIAL%20(2).docx" TargetMode="External"/><Relationship Id="rId59" Type="http://schemas.openxmlformats.org/officeDocument/2006/relationships/hyperlink" Target="file:///C:\Users\AUDI\Downloads\RESUMEN-EJECUTIVO-OFICIAL%20(2).docx" TargetMode="External"/><Relationship Id="rId67" Type="http://schemas.openxmlformats.org/officeDocument/2006/relationships/fontTable" Target="fontTable.xml"/><Relationship Id="rId20" Type="http://schemas.openxmlformats.org/officeDocument/2006/relationships/hyperlink" Target="file:///C:\Users\AUDI\Downloads\RESUMEN-EJECUTIVO-OFICIAL%20(2).docx" TargetMode="External"/><Relationship Id="rId41" Type="http://schemas.openxmlformats.org/officeDocument/2006/relationships/hyperlink" Target="file:///C:\Users\AUDI\Downloads\RESUMEN-EJECUTIVO-OFICIAL%20(2).docx" TargetMode="External"/><Relationship Id="rId54" Type="http://schemas.openxmlformats.org/officeDocument/2006/relationships/hyperlink" Target="file:///C:\Users\AUDI\Downloads\RESUMEN-EJECUTIVO-OFICIAL%20(2).docx" TargetMode="External"/><Relationship Id="rId62" Type="http://schemas.openxmlformats.org/officeDocument/2006/relationships/hyperlink" Target="file:///C:\Users\AUDI\Downloads\RESUMEN-EJECUTIVO-OFICIAL%20(2)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2175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2021-04-15T14:18:00Z</dcterms:created>
  <dcterms:modified xsi:type="dcterms:W3CDTF">2021-04-15T14:21:00Z</dcterms:modified>
</cp:coreProperties>
</file>