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7C" w:rsidRPr="00F455A8" w:rsidRDefault="00B1157C" w:rsidP="00B1157C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F455A8">
        <w:rPr>
          <w:rFonts w:ascii="Arial Narrow" w:hAnsi="Arial Narrow" w:cs="Times New Roman"/>
          <w:b/>
          <w:sz w:val="24"/>
        </w:rPr>
        <w:t>RESUMEN EJECUTIVO</w:t>
      </w:r>
    </w:p>
    <w:p w:rsidR="00B1157C" w:rsidRPr="008C1453" w:rsidRDefault="00B1157C" w:rsidP="00B1157C">
      <w:pPr>
        <w:spacing w:after="0" w:line="240" w:lineRule="auto"/>
        <w:jc w:val="both"/>
        <w:rPr>
          <w:rFonts w:ascii="Arial Narrow" w:eastAsiaTheme="minorEastAsia" w:hAnsi="Arial Narrow" w:cs="Times New Roman"/>
          <w:color w:val="000000" w:themeColor="text1"/>
        </w:rPr>
      </w:pPr>
    </w:p>
    <w:p w:rsidR="00B1157C" w:rsidRPr="008C1453" w:rsidRDefault="00B1157C" w:rsidP="00B1157C">
      <w:pPr>
        <w:spacing w:after="0" w:line="240" w:lineRule="auto"/>
        <w:jc w:val="both"/>
        <w:rPr>
          <w:rFonts w:ascii="Arial Narrow" w:hAnsi="Arial Narrow"/>
          <w:b/>
          <w:lang w:val="es-ES"/>
        </w:rPr>
      </w:pPr>
      <w:r w:rsidRPr="008C1453">
        <w:rPr>
          <w:rFonts w:ascii="Arial Narrow" w:eastAsiaTheme="minorEastAsia" w:hAnsi="Arial Narrow" w:cs="Times New Roman"/>
          <w:color w:val="000000" w:themeColor="text1"/>
        </w:rPr>
        <w:t xml:space="preserve">Informe </w:t>
      </w:r>
      <w:bookmarkStart w:id="0" w:name="_GoBack"/>
      <w:r w:rsidRPr="008C1453">
        <w:rPr>
          <w:rFonts w:ascii="Arial Narrow" w:hAnsi="Arial Narrow"/>
          <w:lang w:val="es-ES"/>
        </w:rPr>
        <w:t xml:space="preserve">INF. D.A.I. N° </w:t>
      </w:r>
      <w:r w:rsidRPr="008C13C0">
        <w:rPr>
          <w:rFonts w:ascii="Arial Narrow" w:hAnsi="Arial Narrow"/>
          <w:lang w:val="es-ES"/>
        </w:rPr>
        <w:t>08/</w:t>
      </w:r>
      <w:r w:rsidRPr="008C1453">
        <w:rPr>
          <w:rFonts w:ascii="Arial Narrow" w:hAnsi="Arial Narrow"/>
          <w:lang w:val="es-ES"/>
        </w:rPr>
        <w:t>2021</w:t>
      </w:r>
      <w:bookmarkEnd w:id="0"/>
      <w:r w:rsidRPr="008C1453">
        <w:rPr>
          <w:rFonts w:ascii="Arial Narrow" w:hAnsi="Arial Narrow"/>
          <w:lang w:val="es-ES"/>
        </w:rPr>
        <w:t xml:space="preserve"> </w:t>
      </w:r>
      <w:r w:rsidRPr="008C1453">
        <w:rPr>
          <w:rFonts w:ascii="Arial Narrow" w:hAnsi="Arial Narrow" w:cs="Times New Roman"/>
        </w:rPr>
        <w:t xml:space="preserve">correspondiente al </w:t>
      </w:r>
      <w:r w:rsidRPr="008C1453">
        <w:rPr>
          <w:rFonts w:ascii="Arial Narrow" w:eastAsiaTheme="minorEastAsia" w:hAnsi="Arial Narrow" w:cs="Times New Roman"/>
          <w:color w:val="000000" w:themeColor="text1"/>
        </w:rPr>
        <w:t>Informe de</w:t>
      </w:r>
      <w:r w:rsidRPr="008C1453">
        <w:rPr>
          <w:rFonts w:ascii="Arial Narrow" w:hAnsi="Arial Narrow" w:cs="Times New Roman"/>
        </w:rPr>
        <w:t xml:space="preserve"> </w:t>
      </w:r>
      <w:r w:rsidRPr="00C72D96">
        <w:rPr>
          <w:rFonts w:ascii="Arial Narrow" w:hAnsi="Arial Narrow" w:cs="Times New Roman"/>
          <w:b/>
        </w:rPr>
        <w:t xml:space="preserve">SEGUIMIENTO AL </w:t>
      </w:r>
      <w:r>
        <w:rPr>
          <w:rFonts w:ascii="Arial Narrow" w:hAnsi="Arial Narrow" w:cs="Times New Roman"/>
          <w:b/>
        </w:rPr>
        <w:t xml:space="preserve">INFORME </w:t>
      </w:r>
      <w:r w:rsidRPr="00C72D96">
        <w:rPr>
          <w:rFonts w:ascii="Arial Narrow" w:hAnsi="Arial Narrow" w:cs="Times New Roman"/>
          <w:b/>
        </w:rPr>
        <w:t>INF. D.A.I. N° 02/2020 “</w:t>
      </w:r>
      <w:r w:rsidRPr="00C72D96">
        <w:rPr>
          <w:rFonts w:ascii="Arial Narrow" w:eastAsia="Times New Roman" w:hAnsi="Arial Narrow" w:cs="Times New Roman"/>
          <w:b/>
          <w:lang w:val="es-ES_tradnl"/>
        </w:rPr>
        <w:t>AUDITORIA OPERACIONAL SOBRE EL CUMPLIMIENTO DEL PROGRAMA OPERATIVO ANUAL (POA) DE LA GESTIÓN 2019 CON RECURSOS PROVENIENTES DEL IMPUESTO DIRECTO A LOS HIDROCARBUROS Y</w:t>
      </w:r>
      <w:r w:rsidRPr="00552C45">
        <w:rPr>
          <w:rFonts w:ascii="Arial Narrow" w:eastAsia="Times New Roman" w:hAnsi="Arial Narrow" w:cs="Times New Roman"/>
          <w:b/>
          <w:lang w:val="es-ES_tradnl"/>
        </w:rPr>
        <w:t xml:space="preserve"> SUS</w:t>
      </w:r>
      <w:r w:rsidRPr="00C72D96">
        <w:rPr>
          <w:rFonts w:ascii="Arial Narrow" w:eastAsia="Times New Roman" w:hAnsi="Arial Narrow" w:cs="Times New Roman"/>
          <w:b/>
          <w:u w:val="single"/>
          <w:lang w:val="es-ES_tradnl"/>
        </w:rPr>
        <w:t xml:space="preserve"> </w:t>
      </w:r>
      <w:r w:rsidRPr="008C1453">
        <w:rPr>
          <w:rFonts w:ascii="Arial Narrow" w:eastAsia="Times New Roman" w:hAnsi="Arial Narrow" w:cs="Times New Roman"/>
          <w:b/>
          <w:lang w:val="es-ES_tradnl"/>
        </w:rPr>
        <w:t>DERIVADOS - IDH</w:t>
      </w:r>
      <w:r w:rsidRPr="008C1453">
        <w:rPr>
          <w:rFonts w:ascii="Arial Narrow" w:hAnsi="Arial Narrow" w:cs="Times New Roman"/>
          <w:b/>
        </w:rPr>
        <w:t xml:space="preserve">”, </w:t>
      </w:r>
      <w:r w:rsidRPr="008C1453">
        <w:rPr>
          <w:rFonts w:ascii="Arial Narrow" w:eastAsia="Times New Roman" w:hAnsi="Arial Narrow" w:cs="Times New Roman"/>
          <w:lang w:eastAsia="es-ES"/>
        </w:rPr>
        <w:t xml:space="preserve">ejecutado en cumplimiento </w:t>
      </w:r>
      <w:r w:rsidRPr="00AA385E">
        <w:rPr>
          <w:rFonts w:ascii="Arial Narrow" w:hAnsi="Arial Narrow"/>
          <w:lang w:val="es-ES"/>
        </w:rPr>
        <w:t>a</w:t>
      </w:r>
      <w:r>
        <w:rPr>
          <w:rFonts w:ascii="Arial Narrow" w:hAnsi="Arial Narrow"/>
          <w:lang w:val="es-ES"/>
        </w:rPr>
        <w:t>l Programa Operativo Anual POA 2021 y</w:t>
      </w:r>
      <w:r w:rsidRPr="00AA385E">
        <w:rPr>
          <w:rFonts w:ascii="Arial Narrow" w:hAnsi="Arial Narrow"/>
          <w:lang w:val="es-ES"/>
        </w:rPr>
        <w:t xml:space="preserve"> Comunicación Interna AUD.</w:t>
      </w:r>
      <w:r>
        <w:rPr>
          <w:rFonts w:ascii="Arial Narrow" w:hAnsi="Arial Narrow"/>
          <w:lang w:val="es-ES"/>
        </w:rPr>
        <w:t xml:space="preserve"> </w:t>
      </w:r>
      <w:r w:rsidRPr="00AA385E">
        <w:rPr>
          <w:rFonts w:ascii="Arial Narrow" w:hAnsi="Arial Narrow"/>
          <w:lang w:val="es-ES"/>
        </w:rPr>
        <w:t>INT.</w:t>
      </w:r>
      <w:r>
        <w:rPr>
          <w:rFonts w:ascii="Arial Narrow" w:hAnsi="Arial Narrow"/>
          <w:lang w:val="es-ES"/>
        </w:rPr>
        <w:t xml:space="preserve"> </w:t>
      </w:r>
      <w:r w:rsidRPr="00AA385E">
        <w:rPr>
          <w:rFonts w:ascii="Arial Narrow" w:hAnsi="Arial Narrow"/>
          <w:lang w:val="es-ES"/>
        </w:rPr>
        <w:t>N° 10/</w:t>
      </w:r>
      <w:r>
        <w:rPr>
          <w:rFonts w:ascii="Arial Narrow" w:hAnsi="Arial Narrow"/>
          <w:lang w:val="es-ES"/>
        </w:rPr>
        <w:t xml:space="preserve">21 de fecha 07 de enero de 2021 </w:t>
      </w:r>
      <w:r w:rsidRPr="008C1453">
        <w:rPr>
          <w:rFonts w:ascii="Arial Narrow" w:eastAsia="Times New Roman" w:hAnsi="Arial Narrow" w:cs="Times New Roman"/>
          <w:color w:val="000000" w:themeColor="text1"/>
        </w:rPr>
        <w:t>de la Dirección de Auditoría Interna del Gobierno Autónomo Municipal de Sucre.</w:t>
      </w:r>
    </w:p>
    <w:p w:rsidR="00B1157C" w:rsidRPr="008C1453" w:rsidRDefault="00B1157C" w:rsidP="00B1157C">
      <w:pPr>
        <w:spacing w:after="0" w:line="240" w:lineRule="auto"/>
        <w:rPr>
          <w:rFonts w:ascii="Arial Narrow" w:hAnsi="Arial Narrow" w:cs="Times New Roman"/>
          <w:b/>
          <w:u w:val="single"/>
        </w:rPr>
      </w:pPr>
    </w:p>
    <w:p w:rsidR="00B1157C" w:rsidRPr="008C1453" w:rsidRDefault="00B1157C" w:rsidP="00B1157C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8C1453">
        <w:rPr>
          <w:rFonts w:ascii="Arial Narrow" w:hAnsi="Arial Narrow" w:cs="Times New Roman"/>
          <w:b/>
        </w:rPr>
        <w:t>Objetivo</w:t>
      </w:r>
    </w:p>
    <w:p w:rsidR="00B1157C" w:rsidRPr="008C1453" w:rsidRDefault="00B1157C" w:rsidP="00B1157C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B1157C" w:rsidRDefault="00B1157C" w:rsidP="00B1157C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/>
        </w:rPr>
      </w:pPr>
      <w:r w:rsidRPr="00AA385E">
        <w:rPr>
          <w:rFonts w:ascii="Arial Narrow" w:hAnsi="Arial Narrow"/>
        </w:rPr>
        <w:t xml:space="preserve">El objetivo del seguimiento es verificar el cumplimiento de las recomendaciones emitidas en el Informe de Auditoria INF. D.A.I. N° 2/2020 referente a la </w:t>
      </w:r>
      <w:r w:rsidRPr="008C1453">
        <w:rPr>
          <w:rFonts w:ascii="Arial Narrow" w:hAnsi="Arial Narrow"/>
        </w:rPr>
        <w:t>“</w:t>
      </w:r>
      <w:r w:rsidRPr="008C1453">
        <w:rPr>
          <w:rFonts w:ascii="Arial Narrow" w:eastAsia="Times New Roman" w:hAnsi="Arial Narrow" w:cs="Times New Roman"/>
          <w:lang w:val="es-ES_tradnl"/>
        </w:rPr>
        <w:t xml:space="preserve">Auditoria Operacional sobre el Cumplimiento del Programa Operativo Anual (POA) de la gestión 2019 con Recursos Provenientes del Impuesto Directo a los Hidrocarburos y sus Derivados – IDH”, </w:t>
      </w:r>
      <w:r w:rsidRPr="00AA385E">
        <w:rPr>
          <w:rFonts w:ascii="Arial Narrow" w:eastAsia="Times New Roman" w:hAnsi="Arial Narrow" w:cs="Times New Roman"/>
          <w:lang w:val="es-ES_tradnl"/>
        </w:rPr>
        <w:t>las cuales fueron aceptadas en su totalidad según formato 1 de Aceptación de las recomendaciones.</w:t>
      </w:r>
    </w:p>
    <w:p w:rsidR="00B1157C" w:rsidRPr="008C1453" w:rsidRDefault="00B1157C" w:rsidP="00B1157C">
      <w:pPr>
        <w:spacing w:after="0" w:line="240" w:lineRule="auto"/>
        <w:jc w:val="both"/>
        <w:rPr>
          <w:rFonts w:ascii="Arial Narrow" w:hAnsi="Arial Narrow" w:cs="Times New Roman"/>
        </w:rPr>
      </w:pPr>
      <w:r w:rsidRPr="008C1453">
        <w:rPr>
          <w:rFonts w:ascii="Arial Narrow" w:hAnsi="Arial Narrow" w:cs="Times New Roman"/>
        </w:rPr>
        <w:t xml:space="preserve"> </w:t>
      </w:r>
    </w:p>
    <w:p w:rsidR="00B1157C" w:rsidRPr="008C1453" w:rsidRDefault="00B1157C" w:rsidP="00B1157C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8C1453">
        <w:rPr>
          <w:rFonts w:ascii="Arial Narrow" w:hAnsi="Arial Narrow" w:cs="Times New Roman"/>
          <w:b/>
        </w:rPr>
        <w:t xml:space="preserve">Objeto </w:t>
      </w:r>
    </w:p>
    <w:p w:rsidR="00B1157C" w:rsidRPr="008C1453" w:rsidRDefault="00B1157C" w:rsidP="00B1157C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B1157C" w:rsidRPr="003E24E3" w:rsidRDefault="00B1157C" w:rsidP="00B1157C">
      <w:pPr>
        <w:spacing w:after="0" w:line="240" w:lineRule="auto"/>
        <w:jc w:val="both"/>
        <w:rPr>
          <w:rFonts w:ascii="Arial Narrow" w:hAnsi="Arial Narrow" w:cs="Times New Roman"/>
        </w:rPr>
      </w:pPr>
      <w:r w:rsidRPr="00AA385E">
        <w:rPr>
          <w:rFonts w:ascii="Arial Narrow" w:hAnsi="Arial Narrow" w:cs="Times New Roman"/>
        </w:rPr>
        <w:t xml:space="preserve">El objeto del seguimiento constituye en la evaluación de la documentación proporcionada por la Coordinadora entre </w:t>
      </w:r>
      <w:r w:rsidRPr="003E24E3">
        <w:rPr>
          <w:rFonts w:ascii="Arial Narrow" w:hAnsi="Arial Narrow" w:cs="Times New Roman"/>
        </w:rPr>
        <w:t>el Gobierno Autónomo Municipal de Sucre y la Contraloría General del Estado, que se describe:</w:t>
      </w:r>
    </w:p>
    <w:p w:rsidR="00B1157C" w:rsidRPr="003E24E3" w:rsidRDefault="00B1157C" w:rsidP="00B1157C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157C" w:rsidRPr="003E24E3" w:rsidRDefault="00B1157C" w:rsidP="00B1157C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lang w:val="es-BO"/>
        </w:rPr>
      </w:pPr>
      <w:r w:rsidRPr="003E24E3">
        <w:rPr>
          <w:rFonts w:ascii="Arial Narrow" w:hAnsi="Arial Narrow" w:cs="Times New Roman"/>
          <w:lang w:val="es-BO"/>
        </w:rPr>
        <w:t>Formato 1 de Aceptación de Recomendaciones.</w:t>
      </w:r>
    </w:p>
    <w:p w:rsidR="00B1157C" w:rsidRPr="003E24E3" w:rsidRDefault="00B1157C" w:rsidP="00B1157C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lang w:val="es-BO"/>
        </w:rPr>
      </w:pPr>
      <w:r w:rsidRPr="003E24E3">
        <w:rPr>
          <w:rFonts w:ascii="Arial Narrow" w:hAnsi="Arial Narrow" w:cs="Times New Roman"/>
          <w:lang w:val="es-BO"/>
        </w:rPr>
        <w:t>Formato 2 de Implantación de Recomendaciones.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lang w:val="es-BO"/>
        </w:rPr>
      </w:pPr>
      <w:r w:rsidRPr="003E24E3">
        <w:rPr>
          <w:rFonts w:ascii="Arial Narrow" w:hAnsi="Arial Narrow" w:cs="Times New Roman"/>
          <w:lang w:val="es-BO"/>
        </w:rPr>
        <w:t>Informe de Auditoria INF. D.A.I. N° 2/2020 (Control Interno).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Comunicación Interna Cite N° 681/2020 de fecha 01 de agosto de 2020.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Circular CITE S.M.P.P.D. N° 10/20 de fecha 30 de septiembre de 2020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Circular CITE S.M.P.P.D. N° 11/20 de fecha 06 de octubre de 2020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DD5507">
        <w:rPr>
          <w:rFonts w:ascii="Arial Narrow" w:hAnsi="Arial Narrow"/>
        </w:rPr>
        <w:t>Nota CITE S.M.P.P.D. N° 049/20 de fecha 28 de octubre de 2020</w:t>
      </w:r>
      <w:r>
        <w:rPr>
          <w:rFonts w:ascii="Arial Narrow" w:hAnsi="Arial Narrow"/>
        </w:rPr>
        <w:t>.</w:t>
      </w:r>
    </w:p>
    <w:p w:rsidR="00B1157C" w:rsidRPr="00DD5507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CITE: S.M.P.P.D. N° 007/2021 de fecha 22 de enero de 2021.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JEF.SEG.CITE N° 003/21 de fecha 25 de enero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JEF.SEG.CITE N° 004/21 de fecha 25 de enero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JEF.SEG.CITE N° 005/21 de fecha 25 de enero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JEF.SEG.CITE N° 006/21 de fecha 25 de enero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JEF.SEG.CITE N° 007/21 de fecha 25 de enero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JEF.SEG.CITE N° 008/21 de fecha 25 de enero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JEF.SEG. CITE N° 009/21 de fecha 25 de enero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 SEG. CITE N° 010/21 de fecha 25 de enero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JEF.SEG.CITE N° 011/21 de fecha 25 de enero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 SEG. CITE N° 012/</w:t>
      </w:r>
      <w:r>
        <w:rPr>
          <w:rFonts w:ascii="Arial Narrow" w:hAnsi="Arial Narrow"/>
        </w:rPr>
        <w:t>21 de fecha 25 de enero de 2021.</w:t>
      </w:r>
    </w:p>
    <w:p w:rsidR="00B1157C" w:rsidRPr="00DD5507" w:rsidRDefault="00B1157C" w:rsidP="00B1157C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lang w:val="es-BO"/>
        </w:rPr>
      </w:pPr>
      <w:r w:rsidRPr="00DD5507">
        <w:rPr>
          <w:rFonts w:ascii="Arial Narrow" w:hAnsi="Arial Narrow"/>
        </w:rPr>
        <w:t>Nota JEF.SEG.CITE N° 013/21 de fecha 25 de febrero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JEF.SEG.CITE N° 014/21 de fecha 25 de enero de 2021</w:t>
      </w:r>
      <w:r>
        <w:rPr>
          <w:rFonts w:ascii="Arial Narrow" w:hAnsi="Arial Narrow"/>
        </w:rPr>
        <w:t>.</w:t>
      </w:r>
    </w:p>
    <w:p w:rsidR="00B1157C" w:rsidRDefault="00B1157C" w:rsidP="00B1157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DD5507">
        <w:rPr>
          <w:rFonts w:ascii="Arial Narrow" w:hAnsi="Arial Narrow"/>
        </w:rPr>
        <w:t>Nota JEF.SEG.CITE N° 015/</w:t>
      </w:r>
      <w:r>
        <w:rPr>
          <w:rFonts w:ascii="Arial Narrow" w:hAnsi="Arial Narrow"/>
        </w:rPr>
        <w:t>21 de fecha 25 de enero de 2021.</w:t>
      </w:r>
    </w:p>
    <w:p w:rsidR="00B1157C" w:rsidRPr="00DD5507" w:rsidRDefault="00B1157C" w:rsidP="00B1157C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</w:pPr>
      <w:r w:rsidRPr="00DD5507">
        <w:rPr>
          <w:rFonts w:ascii="Arial Narrow" w:hAnsi="Arial Narrow"/>
        </w:rPr>
        <w:t>Nota JEF.SEG.CITE N° 017/21 de fecha 25 de enero de 2021</w:t>
      </w:r>
      <w:r>
        <w:rPr>
          <w:rFonts w:ascii="Arial Narrow" w:hAnsi="Arial Narrow"/>
        </w:rPr>
        <w:t>.</w:t>
      </w:r>
    </w:p>
    <w:p w:rsidR="00B1157C" w:rsidRPr="003E24E3" w:rsidRDefault="00B1157C" w:rsidP="00B1157C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lang w:val="es-BO"/>
        </w:rPr>
      </w:pPr>
      <w:r>
        <w:rPr>
          <w:rFonts w:ascii="Arial Narrow" w:hAnsi="Arial Narrow" w:cs="Times New Roman"/>
          <w:lang w:val="es-BO"/>
        </w:rPr>
        <w:t>Toda otra d</w:t>
      </w:r>
      <w:r w:rsidRPr="003E24E3">
        <w:rPr>
          <w:rFonts w:ascii="Arial Narrow" w:hAnsi="Arial Narrow" w:cs="Times New Roman"/>
          <w:lang w:val="es-BO"/>
        </w:rPr>
        <w:t>ocumentación de respaldo referente al cumplimiento de las recomendaciones del informe INF. D.A.I. Nº 2/2020.</w:t>
      </w:r>
    </w:p>
    <w:p w:rsidR="00B1157C" w:rsidRPr="008C1453" w:rsidRDefault="00B1157C" w:rsidP="00B1157C">
      <w:pPr>
        <w:tabs>
          <w:tab w:val="left" w:pos="-2410"/>
          <w:tab w:val="left" w:pos="-1701"/>
        </w:tabs>
        <w:spacing w:after="0" w:line="240" w:lineRule="auto"/>
        <w:rPr>
          <w:rFonts w:ascii="Arial Narrow" w:hAnsi="Arial Narrow" w:cs="Times New Roman"/>
          <w:b/>
        </w:rPr>
      </w:pPr>
      <w:r w:rsidRPr="008C1453">
        <w:rPr>
          <w:rFonts w:ascii="Arial Narrow" w:hAnsi="Arial Narrow" w:cs="Times New Roman"/>
          <w:b/>
        </w:rPr>
        <w:t>Conclusión</w:t>
      </w:r>
    </w:p>
    <w:p w:rsidR="00B1157C" w:rsidRPr="008C1453" w:rsidRDefault="00B1157C" w:rsidP="00B1157C">
      <w:pPr>
        <w:tabs>
          <w:tab w:val="left" w:pos="-2410"/>
          <w:tab w:val="left" w:pos="-1701"/>
        </w:tabs>
        <w:spacing w:after="0" w:line="240" w:lineRule="auto"/>
        <w:rPr>
          <w:rFonts w:ascii="Arial Narrow" w:hAnsi="Arial Narrow" w:cs="Times New Roman"/>
          <w:b/>
        </w:rPr>
      </w:pPr>
    </w:p>
    <w:p w:rsidR="00B1157C" w:rsidRPr="00CB1966" w:rsidRDefault="00B1157C" w:rsidP="00B1157C">
      <w:pPr>
        <w:spacing w:after="0" w:line="240" w:lineRule="auto"/>
        <w:jc w:val="both"/>
        <w:rPr>
          <w:rFonts w:ascii="Arial Narrow" w:hAnsi="Arial Narrow" w:cs="Times New Roman"/>
        </w:rPr>
      </w:pPr>
      <w:r w:rsidRPr="00CB1966">
        <w:rPr>
          <w:rFonts w:ascii="Arial Narrow" w:hAnsi="Arial Narrow" w:cs="Times New Roman"/>
        </w:rPr>
        <w:t>Como resultado del trabajo de seguimiento descrito en el punto 2 se concluye,</w:t>
      </w:r>
      <w:r>
        <w:rPr>
          <w:rFonts w:ascii="Arial Narrow" w:hAnsi="Arial Narrow" w:cs="Times New Roman"/>
        </w:rPr>
        <w:t xml:space="preserve"> que de las 5</w:t>
      </w:r>
      <w:r w:rsidRPr="00CB1966">
        <w:rPr>
          <w:rFonts w:ascii="Arial Narrow" w:hAnsi="Arial Narrow" w:cs="Times New Roman"/>
        </w:rPr>
        <w:t xml:space="preserve"> recomendaciones e</w:t>
      </w:r>
      <w:r>
        <w:rPr>
          <w:rFonts w:ascii="Arial Narrow" w:hAnsi="Arial Narrow" w:cs="Times New Roman"/>
        </w:rPr>
        <w:t>mitidas en el informe</w:t>
      </w:r>
      <w:r w:rsidRPr="00CB196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INF. D.A.I. Nº 2</w:t>
      </w:r>
      <w:r w:rsidRPr="00CB1966">
        <w:rPr>
          <w:rFonts w:ascii="Arial Narrow" w:hAnsi="Arial Narrow" w:cs="Times New Roman"/>
        </w:rPr>
        <w:t>/</w:t>
      </w:r>
      <w:r>
        <w:rPr>
          <w:rFonts w:ascii="Arial Narrow" w:hAnsi="Arial Narrow" w:cs="Times New Roman"/>
        </w:rPr>
        <w:t>2020</w:t>
      </w:r>
      <w:r w:rsidRPr="00CB1966">
        <w:rPr>
          <w:rFonts w:ascii="Arial Narrow" w:hAnsi="Arial Narrow" w:cs="Times New Roman"/>
        </w:rPr>
        <w:t xml:space="preserve"> (Control Interno) referente a la</w:t>
      </w:r>
      <w:r w:rsidRPr="00CB1966">
        <w:rPr>
          <w:rFonts w:ascii="Arial Narrow" w:hAnsi="Arial Narrow" w:cs="Times New Roman"/>
          <w:b/>
        </w:rPr>
        <w:t xml:space="preserve"> “</w:t>
      </w:r>
      <w:r>
        <w:rPr>
          <w:rFonts w:ascii="Arial Narrow" w:eastAsia="Times New Roman" w:hAnsi="Arial Narrow" w:cs="Times New Roman"/>
          <w:b/>
          <w:lang w:val="es-ES_tradnl"/>
        </w:rPr>
        <w:t xml:space="preserve">Auditoria Operacional sobre el </w:t>
      </w:r>
      <w:r>
        <w:rPr>
          <w:rFonts w:ascii="Arial Narrow" w:eastAsia="Times New Roman" w:hAnsi="Arial Narrow" w:cs="Times New Roman"/>
          <w:b/>
          <w:lang w:val="es-ES_tradnl"/>
        </w:rPr>
        <w:lastRenderedPageBreak/>
        <w:t>cumplimiento del Programa Operativo Anual (POA) de la Gestión 2019 con Recursos Provenientes d</w:t>
      </w:r>
      <w:r w:rsidRPr="003E24E3">
        <w:rPr>
          <w:rFonts w:ascii="Arial Narrow" w:eastAsia="Times New Roman" w:hAnsi="Arial Narrow" w:cs="Times New Roman"/>
          <w:b/>
          <w:lang w:val="es-ES_tradnl"/>
        </w:rPr>
        <w:t>el Impues</w:t>
      </w:r>
      <w:r>
        <w:rPr>
          <w:rFonts w:ascii="Arial Narrow" w:eastAsia="Times New Roman" w:hAnsi="Arial Narrow" w:cs="Times New Roman"/>
          <w:b/>
          <w:lang w:val="es-ES_tradnl"/>
        </w:rPr>
        <w:t>to Directo a los Hidrocarburos y s</w:t>
      </w:r>
      <w:r w:rsidRPr="003E24E3">
        <w:rPr>
          <w:rFonts w:ascii="Arial Narrow" w:eastAsia="Times New Roman" w:hAnsi="Arial Narrow" w:cs="Times New Roman"/>
          <w:b/>
          <w:lang w:val="es-ES_tradnl"/>
        </w:rPr>
        <w:t>us Derivados - I</w:t>
      </w:r>
      <w:r>
        <w:rPr>
          <w:rFonts w:ascii="Arial Narrow" w:eastAsia="Times New Roman" w:hAnsi="Arial Narrow" w:cs="Times New Roman"/>
          <w:b/>
          <w:lang w:val="es-ES_tradnl"/>
        </w:rPr>
        <w:t>DH</w:t>
      </w:r>
      <w:r w:rsidRPr="00CB1966">
        <w:rPr>
          <w:rFonts w:ascii="Arial Narrow" w:hAnsi="Arial Narrow" w:cs="Times New Roman"/>
          <w:b/>
        </w:rPr>
        <w:t xml:space="preserve">”, </w:t>
      </w:r>
      <w:r w:rsidRPr="00CB1966">
        <w:rPr>
          <w:rFonts w:ascii="Arial Narrow" w:hAnsi="Arial Narrow" w:cs="Times New Roman"/>
        </w:rPr>
        <w:t xml:space="preserve">la recomendación </w:t>
      </w:r>
      <w:r>
        <w:rPr>
          <w:rFonts w:ascii="Arial Narrow" w:hAnsi="Arial Narrow" w:cs="Times New Roman"/>
          <w:b/>
        </w:rPr>
        <w:t xml:space="preserve">R.2 </w:t>
      </w:r>
      <w:r>
        <w:rPr>
          <w:rFonts w:ascii="Arial Narrow" w:hAnsi="Arial Narrow" w:cs="Times New Roman"/>
        </w:rPr>
        <w:t>fue</w:t>
      </w:r>
      <w:r w:rsidRPr="00CB196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CUMPLIDA</w:t>
      </w:r>
      <w:r w:rsidRPr="00CB1966">
        <w:rPr>
          <w:rFonts w:ascii="Arial Narrow" w:hAnsi="Arial Narrow" w:cs="Times New Roman"/>
        </w:rPr>
        <w:t>, logrando mejorar el control interno del Gobier</w:t>
      </w:r>
      <w:r>
        <w:rPr>
          <w:rFonts w:ascii="Arial Narrow" w:hAnsi="Arial Narrow" w:cs="Times New Roman"/>
        </w:rPr>
        <w:t xml:space="preserve">no Autónomo Municipal de Sucre; </w:t>
      </w:r>
      <w:r w:rsidRPr="00CB1966">
        <w:rPr>
          <w:rFonts w:ascii="Arial Narrow" w:hAnsi="Arial Narrow" w:cs="Times New Roman"/>
        </w:rPr>
        <w:t>la</w:t>
      </w:r>
      <w:r>
        <w:rPr>
          <w:rFonts w:ascii="Arial Narrow" w:hAnsi="Arial Narrow" w:cs="Times New Roman"/>
        </w:rPr>
        <w:t>s recomendaciones</w:t>
      </w:r>
      <w:r w:rsidRPr="00CB196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 xml:space="preserve">R.1 </w:t>
      </w:r>
      <w:r w:rsidRPr="00CF7373">
        <w:rPr>
          <w:rFonts w:ascii="Arial Narrow" w:hAnsi="Arial Narrow" w:cs="Times New Roman"/>
          <w:i/>
        </w:rPr>
        <w:t xml:space="preserve">(Inadecuado Seguimiento </w:t>
      </w:r>
      <w:r>
        <w:rPr>
          <w:rFonts w:ascii="Arial Narrow" w:hAnsi="Arial Narrow" w:cs="Times New Roman"/>
          <w:i/>
        </w:rPr>
        <w:t>a los</w:t>
      </w:r>
      <w:r w:rsidRPr="00CF7373">
        <w:rPr>
          <w:rFonts w:ascii="Arial Narrow" w:hAnsi="Arial Narrow" w:cs="Times New Roman"/>
          <w:i/>
        </w:rPr>
        <w:t xml:space="preserve"> Programas, Proyectos </w:t>
      </w:r>
      <w:r>
        <w:rPr>
          <w:rFonts w:ascii="Arial Narrow" w:hAnsi="Arial Narrow" w:cs="Times New Roman"/>
          <w:i/>
        </w:rPr>
        <w:t>y Actividades Financiados c</w:t>
      </w:r>
      <w:r w:rsidRPr="00CF7373">
        <w:rPr>
          <w:rFonts w:ascii="Arial Narrow" w:hAnsi="Arial Narrow" w:cs="Times New Roman"/>
          <w:i/>
        </w:rPr>
        <w:t>on Recursos IDH),</w:t>
      </w:r>
      <w:r>
        <w:rPr>
          <w:rFonts w:ascii="Arial Narrow" w:hAnsi="Arial Narrow" w:cs="Times New Roman"/>
          <w:b/>
        </w:rPr>
        <w:t xml:space="preserve"> R.3</w:t>
      </w:r>
      <w:r w:rsidRPr="00CB1966">
        <w:rPr>
          <w:rFonts w:ascii="Arial Narrow" w:hAnsi="Arial Narrow" w:cs="Times New Roman"/>
          <w:b/>
        </w:rPr>
        <w:t xml:space="preserve"> </w:t>
      </w:r>
      <w:r w:rsidRPr="00CB1966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  <w:i/>
        </w:rPr>
        <w:t>Aplicación del Indicador d</w:t>
      </w:r>
      <w:r w:rsidRPr="009F6893">
        <w:rPr>
          <w:rFonts w:ascii="Arial Narrow" w:hAnsi="Arial Narrow" w:cs="Times New Roman"/>
          <w:i/>
        </w:rPr>
        <w:t>e Eficacia (Ejecución física)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y</w:t>
      </w:r>
      <w:r w:rsidRPr="00CB1966">
        <w:rPr>
          <w:rFonts w:ascii="Arial Narrow" w:hAnsi="Arial Narrow" w:cs="Times New Roman"/>
        </w:rPr>
        <w:t xml:space="preserve"> </w:t>
      </w:r>
      <w:r w:rsidRPr="00CB1966">
        <w:rPr>
          <w:rFonts w:ascii="Arial Narrow" w:hAnsi="Arial Narrow" w:cs="Times New Roman"/>
          <w:b/>
        </w:rPr>
        <w:t>R.</w:t>
      </w:r>
      <w:r>
        <w:rPr>
          <w:rFonts w:ascii="Arial Narrow" w:hAnsi="Arial Narrow" w:cs="Times New Roman"/>
          <w:b/>
        </w:rPr>
        <w:t>5</w:t>
      </w:r>
      <w:r w:rsidRPr="00CB1966">
        <w:rPr>
          <w:rFonts w:ascii="Arial Narrow" w:hAnsi="Arial Narrow" w:cs="Times New Roman"/>
          <w:b/>
        </w:rPr>
        <w:t xml:space="preserve"> </w:t>
      </w:r>
      <w:r w:rsidRPr="00CB1966">
        <w:rPr>
          <w:rFonts w:ascii="Arial Narrow" w:hAnsi="Arial Narrow" w:cs="Times New Roman"/>
        </w:rPr>
        <w:t>(</w:t>
      </w:r>
      <w:r w:rsidRPr="009F6893">
        <w:rPr>
          <w:rFonts w:ascii="Arial Narrow" w:hAnsi="Arial Narrow" w:cs="Times New Roman"/>
          <w:i/>
        </w:rPr>
        <w:t xml:space="preserve">Análisis </w:t>
      </w:r>
      <w:r>
        <w:rPr>
          <w:rFonts w:ascii="Arial Narrow" w:hAnsi="Arial Narrow" w:cs="Times New Roman"/>
          <w:i/>
        </w:rPr>
        <w:t>de l</w:t>
      </w:r>
      <w:r w:rsidRPr="009F6893">
        <w:rPr>
          <w:rFonts w:ascii="Arial Narrow" w:hAnsi="Arial Narrow" w:cs="Times New Roman"/>
          <w:i/>
        </w:rPr>
        <w:t xml:space="preserve">a Asignación </w:t>
      </w:r>
      <w:r>
        <w:rPr>
          <w:rFonts w:ascii="Arial Narrow" w:hAnsi="Arial Narrow" w:cs="Times New Roman"/>
          <w:i/>
        </w:rPr>
        <w:t>de Recursos d</w:t>
      </w:r>
      <w:r w:rsidRPr="009F6893">
        <w:rPr>
          <w:rFonts w:ascii="Arial Narrow" w:hAnsi="Arial Narrow" w:cs="Times New Roman"/>
          <w:i/>
        </w:rPr>
        <w:t xml:space="preserve">el Impuesto Directo </w:t>
      </w:r>
      <w:r>
        <w:rPr>
          <w:rFonts w:ascii="Arial Narrow" w:hAnsi="Arial Narrow" w:cs="Times New Roman"/>
          <w:i/>
        </w:rPr>
        <w:t>a l</w:t>
      </w:r>
      <w:r w:rsidRPr="009F6893">
        <w:rPr>
          <w:rFonts w:ascii="Arial Narrow" w:hAnsi="Arial Narrow" w:cs="Times New Roman"/>
          <w:i/>
        </w:rPr>
        <w:t>os Hidrocarburos</w:t>
      </w:r>
      <w:r w:rsidRPr="00CB1966">
        <w:rPr>
          <w:rFonts w:ascii="Arial Narrow" w:hAnsi="Arial Narrow" w:cs="Times New Roman"/>
        </w:rPr>
        <w:t>)</w:t>
      </w:r>
      <w:r>
        <w:rPr>
          <w:rFonts w:ascii="Arial Narrow" w:hAnsi="Arial Narrow" w:cs="Times New Roman"/>
        </w:rPr>
        <w:t>,</w:t>
      </w:r>
      <w:r w:rsidRPr="00CB196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 xml:space="preserve">NO </w:t>
      </w:r>
      <w:r w:rsidRPr="009F6893">
        <w:rPr>
          <w:rFonts w:ascii="Arial Narrow" w:hAnsi="Arial Narrow" w:cs="Times New Roman"/>
        </w:rPr>
        <w:t>fueron</w:t>
      </w:r>
      <w:r>
        <w:rPr>
          <w:rFonts w:ascii="Arial Narrow" w:hAnsi="Arial Narrow" w:cs="Times New Roman"/>
          <w:b/>
        </w:rPr>
        <w:t xml:space="preserve"> CUMPLIDAS; </w:t>
      </w:r>
      <w:r w:rsidRPr="00CB196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asimismo la recomendación </w:t>
      </w:r>
      <w:r w:rsidRPr="009F6893">
        <w:rPr>
          <w:rFonts w:ascii="Arial Narrow" w:hAnsi="Arial Narrow" w:cs="Times New Roman"/>
          <w:b/>
        </w:rPr>
        <w:t>R.4</w:t>
      </w:r>
      <w:r>
        <w:rPr>
          <w:rFonts w:ascii="Arial Narrow" w:hAnsi="Arial Narrow" w:cs="Times New Roman"/>
        </w:rPr>
        <w:t xml:space="preserve"> (Inspección Física de Programas, Proyectos y Actividades Financiadas con Recursos d</w:t>
      </w:r>
      <w:r w:rsidRPr="009F6893">
        <w:rPr>
          <w:rFonts w:ascii="Arial Narrow" w:hAnsi="Arial Narrow" w:cs="Times New Roman"/>
        </w:rPr>
        <w:t>el IDH</w:t>
      </w:r>
      <w:r>
        <w:rPr>
          <w:rFonts w:ascii="Arial Narrow" w:hAnsi="Arial Narrow" w:cs="Times New Roman"/>
        </w:rPr>
        <w:t xml:space="preserve">) se consideró como </w:t>
      </w:r>
      <w:r w:rsidRPr="00CB1966">
        <w:rPr>
          <w:rFonts w:ascii="Arial Narrow" w:hAnsi="Arial Narrow" w:cs="Times New Roman"/>
          <w:b/>
        </w:rPr>
        <w:t>NO APLICABLE</w:t>
      </w:r>
      <w:r w:rsidRPr="00CB1966">
        <w:rPr>
          <w:rFonts w:ascii="Arial Narrow" w:hAnsi="Arial Narrow" w:cs="Times New Roman"/>
        </w:rPr>
        <w:t>.</w:t>
      </w:r>
    </w:p>
    <w:p w:rsidR="00B1157C" w:rsidRPr="008C1453" w:rsidRDefault="00B1157C" w:rsidP="00B1157C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B1157C" w:rsidRPr="008C1453" w:rsidRDefault="00B1157C" w:rsidP="00B1157C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B1157C" w:rsidRPr="008C1453" w:rsidRDefault="00B1157C" w:rsidP="00B1157C">
      <w:pPr>
        <w:pStyle w:val="Prrafodelista"/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B1157C" w:rsidRPr="008C1453" w:rsidRDefault="00B1157C" w:rsidP="00B1157C">
      <w:pPr>
        <w:pStyle w:val="Prrafodelista"/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8C1453">
        <w:rPr>
          <w:rFonts w:ascii="Arial Narrow" w:hAnsi="Arial Narrow" w:cs="Times New Roman"/>
        </w:rPr>
        <w:t xml:space="preserve">Sucre, </w:t>
      </w:r>
      <w:r>
        <w:rPr>
          <w:rFonts w:ascii="Arial Narrow" w:hAnsi="Arial Narrow" w:cs="Times New Roman"/>
        </w:rPr>
        <w:t>febrero de 2021</w:t>
      </w:r>
      <w:r w:rsidRPr="008C1453">
        <w:rPr>
          <w:rFonts w:ascii="Arial Narrow" w:hAnsi="Arial Narrow" w:cs="Times New Roman"/>
        </w:rPr>
        <w:t>.</w:t>
      </w:r>
    </w:p>
    <w:p w:rsidR="006627EE" w:rsidRDefault="006627EE"/>
    <w:sectPr w:rsidR="006627EE" w:rsidSect="00B1157C">
      <w:pgSz w:w="12240" w:h="15840" w:code="1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A28"/>
    <w:multiLevelType w:val="hybridMultilevel"/>
    <w:tmpl w:val="AD367F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7C"/>
    <w:rsid w:val="006627EE"/>
    <w:rsid w:val="00B1157C"/>
    <w:rsid w:val="00F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B1157C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B1157C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B1157C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B1157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31C5-89EC-49AB-8050-23123E26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</dc:creator>
  <cp:lastModifiedBy>Letty</cp:lastModifiedBy>
  <cp:revision>1</cp:revision>
  <dcterms:created xsi:type="dcterms:W3CDTF">2021-09-13T12:13:00Z</dcterms:created>
  <dcterms:modified xsi:type="dcterms:W3CDTF">2021-09-13T12:14:00Z</dcterms:modified>
</cp:coreProperties>
</file>