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F7" w:rsidRPr="00752311" w:rsidRDefault="008C70F7" w:rsidP="008C70F7">
      <w:pPr>
        <w:jc w:val="center"/>
        <w:rPr>
          <w:rFonts w:ascii="Arial Narrow" w:eastAsia="Times New Roman" w:hAnsi="Arial Narrow" w:cs="Times New Roman"/>
          <w:b/>
          <w:sz w:val="22"/>
          <w:szCs w:val="22"/>
          <w:lang w:val="es-ES"/>
        </w:rPr>
      </w:pPr>
      <w:r w:rsidRPr="00752311">
        <w:rPr>
          <w:rFonts w:ascii="Arial Narrow" w:eastAsia="Times New Roman" w:hAnsi="Arial Narrow" w:cs="Times New Roman"/>
          <w:b/>
          <w:sz w:val="22"/>
          <w:szCs w:val="22"/>
          <w:lang w:val="es-ES"/>
        </w:rPr>
        <w:t>RESUMEN EJECUTIVO</w:t>
      </w:r>
    </w:p>
    <w:p w:rsidR="008C70F7" w:rsidRPr="00752311" w:rsidRDefault="008C70F7" w:rsidP="008C70F7">
      <w:pPr>
        <w:spacing w:after="160"/>
        <w:rPr>
          <w:rFonts w:ascii="Arial Narrow" w:eastAsia="Times New Roman" w:hAnsi="Arial Narrow" w:cs="Times New Roman"/>
          <w:sz w:val="22"/>
          <w:szCs w:val="22"/>
        </w:rPr>
      </w:pPr>
    </w:p>
    <w:p w:rsidR="008C70F7" w:rsidRPr="00752311" w:rsidRDefault="008C70F7" w:rsidP="008C70F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2"/>
          <w:szCs w:val="22"/>
          <w:lang w:val="es-ES"/>
        </w:rPr>
      </w:pPr>
      <w:bookmarkStart w:id="0" w:name="_Toc444378354"/>
      <w:r w:rsidRPr="00752311">
        <w:rPr>
          <w:rFonts w:ascii="Arial Narrow" w:eastAsia="Times New Roman" w:hAnsi="Arial Narrow" w:cs="Times New Roman"/>
          <w:b/>
          <w:sz w:val="22"/>
          <w:szCs w:val="22"/>
        </w:rPr>
        <w:t xml:space="preserve">INFORME DE AUDITORÍA INTERNA </w:t>
      </w:r>
      <w:bookmarkEnd w:id="0"/>
      <w:r w:rsidRPr="00752311">
        <w:rPr>
          <w:rFonts w:ascii="Arial Narrow" w:eastAsia="Times New Roman" w:hAnsi="Arial Narrow" w:cs="Times New Roman"/>
          <w:b/>
          <w:sz w:val="22"/>
          <w:szCs w:val="22"/>
          <w:lang w:val="es-ES"/>
        </w:rPr>
        <w:t xml:space="preserve">INF. D.A.I. Nº </w:t>
      </w:r>
      <w:r>
        <w:rPr>
          <w:rFonts w:ascii="Arial Narrow" w:eastAsia="Times New Roman" w:hAnsi="Arial Narrow" w:cs="Times New Roman"/>
          <w:b/>
          <w:sz w:val="22"/>
          <w:szCs w:val="22"/>
          <w:lang w:val="es-ES"/>
        </w:rPr>
        <w:t>0</w:t>
      </w:r>
      <w:r w:rsidRPr="00752311">
        <w:rPr>
          <w:rFonts w:ascii="Arial Narrow" w:eastAsia="Times New Roman" w:hAnsi="Arial Narrow" w:cs="Times New Roman"/>
          <w:b/>
          <w:sz w:val="22"/>
          <w:szCs w:val="22"/>
          <w:lang w:val="es-ES"/>
        </w:rPr>
        <w:t>4/2022</w:t>
      </w:r>
    </w:p>
    <w:p w:rsidR="008C70F7" w:rsidRPr="00752311" w:rsidRDefault="008C70F7" w:rsidP="008C70F7">
      <w:pPr>
        <w:spacing w:after="160"/>
        <w:jc w:val="center"/>
        <w:rPr>
          <w:rFonts w:ascii="Arial Narrow" w:eastAsia="Times New Roman" w:hAnsi="Arial Narrow" w:cs="Times New Roman"/>
          <w:b/>
          <w:sz w:val="22"/>
          <w:szCs w:val="22"/>
          <w:lang w:val="es-ES"/>
        </w:rPr>
      </w:pPr>
    </w:p>
    <w:p w:rsidR="008C70F7" w:rsidRPr="00752311" w:rsidRDefault="008C70F7" w:rsidP="008C70F7">
      <w:pPr>
        <w:autoSpaceDE w:val="0"/>
        <w:autoSpaceDN w:val="0"/>
        <w:adjustRightInd w:val="0"/>
        <w:spacing w:before="120" w:after="120"/>
        <w:jc w:val="both"/>
        <w:rPr>
          <w:rFonts w:ascii="Arial Narrow" w:eastAsia="Times New Roman" w:hAnsi="Arial Narrow" w:cs="Times New Roman"/>
          <w:i/>
          <w:sz w:val="22"/>
          <w:szCs w:val="22"/>
          <w:lang w:val="es-BO"/>
        </w:rPr>
      </w:pPr>
      <w:r w:rsidRPr="00752311">
        <w:rPr>
          <w:rFonts w:ascii="Arial Narrow" w:eastAsia="Times New Roman" w:hAnsi="Arial Narrow" w:cs="Times New Roman"/>
          <w:sz w:val="22"/>
          <w:szCs w:val="22"/>
        </w:rPr>
        <w:t xml:space="preserve">Informe de Auditoría Interna </w:t>
      </w:r>
      <w:r>
        <w:rPr>
          <w:rFonts w:ascii="Arial Narrow" w:eastAsia="Times New Roman" w:hAnsi="Arial Narrow" w:cs="Times New Roman"/>
          <w:b/>
          <w:sz w:val="22"/>
          <w:szCs w:val="22"/>
        </w:rPr>
        <w:t xml:space="preserve">INF. D.A.I. N° </w:t>
      </w:r>
      <w:r w:rsidRPr="00752311">
        <w:rPr>
          <w:rFonts w:ascii="Arial Narrow" w:eastAsia="Times New Roman" w:hAnsi="Arial Narrow" w:cs="Times New Roman"/>
          <w:b/>
          <w:sz w:val="22"/>
          <w:szCs w:val="22"/>
        </w:rPr>
        <w:t>04/2022</w:t>
      </w:r>
      <w:r w:rsidRPr="00752311">
        <w:rPr>
          <w:rFonts w:ascii="Arial Narrow" w:eastAsia="Times New Roman" w:hAnsi="Arial Narrow" w:cs="Times New Roman"/>
          <w:sz w:val="22"/>
          <w:szCs w:val="22"/>
        </w:rPr>
        <w:t xml:space="preserve"> </w:t>
      </w:r>
      <w:bookmarkStart w:id="1" w:name="_Toc381344661"/>
      <w:r w:rsidRPr="00752311">
        <w:rPr>
          <w:rFonts w:ascii="Arial Narrow" w:eastAsia="Times New Roman" w:hAnsi="Arial Narrow" w:cs="Times New Roman"/>
          <w:sz w:val="22"/>
          <w:szCs w:val="22"/>
        </w:rPr>
        <w:t xml:space="preserve"> de la “Auditoria Operacional del Impuesto Directo a los Hidrocarburos IDH Gesti</w:t>
      </w:r>
      <w:bookmarkStart w:id="2" w:name="_GoBack"/>
      <w:bookmarkEnd w:id="2"/>
      <w:r w:rsidRPr="00752311">
        <w:rPr>
          <w:rFonts w:ascii="Arial Narrow" w:eastAsia="Times New Roman" w:hAnsi="Arial Narrow" w:cs="Times New Roman"/>
          <w:sz w:val="22"/>
          <w:szCs w:val="22"/>
        </w:rPr>
        <w:t xml:space="preserve">ón 2021 del Gobierno Autónomo Municipal de Sucre” en cumplimiento al Programa Operativo Anual gestión 2022 de la Dirección de Auditoria Interna, Directrices para la ejecución de actividades – “Reformulación de la Planificación Anual 2022 de las Unidades de Auditoria Interna de los Gobiernos Autónomos Municipales y Universidades Publicas” de la Contraloría General del Estado y Comunicación Interna Cite Nº 002/2022 de 05 de enero de 2022 de la Dirección de Auditoria Interna del G.A.M.S. </w:t>
      </w:r>
    </w:p>
    <w:p w:rsidR="008C70F7" w:rsidRPr="00752311" w:rsidRDefault="008C70F7" w:rsidP="008C70F7">
      <w:pPr>
        <w:autoSpaceDE w:val="0"/>
        <w:autoSpaceDN w:val="0"/>
        <w:adjustRightInd w:val="0"/>
        <w:spacing w:before="120" w:after="120"/>
        <w:jc w:val="both"/>
        <w:rPr>
          <w:rFonts w:ascii="Arial Narrow" w:eastAsia="Times New Roman" w:hAnsi="Arial Narrow" w:cs="Times New Roman"/>
          <w:b/>
          <w:sz w:val="22"/>
          <w:szCs w:val="22"/>
        </w:rPr>
      </w:pPr>
      <w:r w:rsidRPr="00752311">
        <w:rPr>
          <w:rFonts w:ascii="Arial Narrow" w:eastAsia="Times New Roman" w:hAnsi="Arial Narrow" w:cs="Times New Roman"/>
          <w:b/>
          <w:sz w:val="22"/>
          <w:szCs w:val="22"/>
        </w:rPr>
        <w:t>OBJETIVO</w:t>
      </w:r>
    </w:p>
    <w:bookmarkEnd w:id="1"/>
    <w:p w:rsidR="008C70F7" w:rsidRPr="00752311" w:rsidRDefault="008C70F7" w:rsidP="008C70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2"/>
          <w:szCs w:val="22"/>
        </w:rPr>
      </w:pPr>
      <w:r w:rsidRPr="00752311">
        <w:rPr>
          <w:rFonts w:ascii="Arial Narrow" w:eastAsia="Times New Roman" w:hAnsi="Arial Narrow" w:cs="Times New Roman"/>
          <w:color w:val="000000"/>
          <w:sz w:val="22"/>
          <w:szCs w:val="22"/>
        </w:rPr>
        <w:t>El objetivo es emitir pronunciamiento sobre:</w:t>
      </w:r>
    </w:p>
    <w:p w:rsidR="008C70F7" w:rsidRPr="00752311" w:rsidRDefault="008C70F7" w:rsidP="008C70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:rsidR="008C70F7" w:rsidRPr="00752311" w:rsidRDefault="008C70F7" w:rsidP="008C70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</w:rPr>
      </w:pPr>
      <w:r w:rsidRPr="00752311">
        <w:rPr>
          <w:rFonts w:ascii="Arial Narrow" w:eastAsia="Times New Roman" w:hAnsi="Arial Narrow" w:cs="Times New Roman"/>
          <w:color w:val="000000"/>
          <w:sz w:val="22"/>
          <w:szCs w:val="22"/>
        </w:rPr>
        <w:t xml:space="preserve">La eficacia de operaciones financiados con recursos del Impuesto Directo a los Hidrocarburos (IDH), en el logro de los objetivos de los resultados esperados en relación a las acciones de corto plazo de los proyectos y actividades determinados en el Plan Operativo Anual de la gestión 2021 </w:t>
      </w:r>
      <w:r w:rsidRPr="00752311">
        <w:rPr>
          <w:rFonts w:ascii="Arial Narrow" w:eastAsia="Times New Roman" w:hAnsi="Arial Narrow" w:cs="Times New Roman"/>
          <w:sz w:val="22"/>
          <w:szCs w:val="22"/>
        </w:rPr>
        <w:t>del Gobierno Autónomo Municipal de Sucre</w:t>
      </w:r>
    </w:p>
    <w:p w:rsidR="008C70F7" w:rsidRPr="00752311" w:rsidRDefault="008C70F7" w:rsidP="008C70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</w:rPr>
      </w:pPr>
    </w:p>
    <w:p w:rsidR="008C70F7" w:rsidRPr="00752311" w:rsidRDefault="008C70F7" w:rsidP="008C70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2"/>
          <w:szCs w:val="22"/>
        </w:rPr>
      </w:pPr>
      <w:r w:rsidRPr="00752311">
        <w:rPr>
          <w:rFonts w:ascii="Arial Narrow" w:eastAsia="Times New Roman" w:hAnsi="Arial Narrow" w:cs="Times New Roman"/>
          <w:sz w:val="22"/>
          <w:szCs w:val="22"/>
        </w:rPr>
        <w:t xml:space="preserve">Y sobre la utilización y destino de los recursos del IDH dentro las competencias establecidas en el </w:t>
      </w:r>
      <w:r w:rsidRPr="00752311">
        <w:rPr>
          <w:rFonts w:ascii="Arial Narrow" w:eastAsia="Times New Roman" w:hAnsi="Arial Narrow" w:cs="Times New Roman"/>
          <w:color w:val="000000"/>
          <w:sz w:val="22"/>
          <w:szCs w:val="22"/>
        </w:rPr>
        <w:t>Decreto Supremo N° 28421 de 21 de octubre de 2005.</w:t>
      </w:r>
    </w:p>
    <w:p w:rsidR="008C70F7" w:rsidRPr="00752311" w:rsidRDefault="008C70F7" w:rsidP="008C70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2"/>
          <w:szCs w:val="22"/>
        </w:rPr>
      </w:pPr>
    </w:p>
    <w:p w:rsidR="008C70F7" w:rsidRPr="00752311" w:rsidRDefault="008C70F7" w:rsidP="008C70F7">
      <w:pPr>
        <w:autoSpaceDE w:val="0"/>
        <w:autoSpaceDN w:val="0"/>
        <w:adjustRightInd w:val="0"/>
        <w:spacing w:before="120" w:after="120"/>
        <w:jc w:val="both"/>
        <w:rPr>
          <w:rFonts w:ascii="Arial Narrow" w:eastAsia="Times New Roman" w:hAnsi="Arial Narrow" w:cs="Times New Roman"/>
          <w:b/>
          <w:iCs/>
          <w:sz w:val="22"/>
          <w:szCs w:val="22"/>
        </w:rPr>
      </w:pPr>
      <w:r w:rsidRPr="00752311">
        <w:rPr>
          <w:rFonts w:ascii="Arial Narrow" w:eastAsia="Times New Roman" w:hAnsi="Arial Narrow" w:cs="Times New Roman"/>
          <w:b/>
          <w:iCs/>
          <w:sz w:val="22"/>
          <w:szCs w:val="22"/>
        </w:rPr>
        <w:t>OBJETO</w:t>
      </w:r>
    </w:p>
    <w:p w:rsidR="008C70F7" w:rsidRPr="00752311" w:rsidRDefault="008C70F7" w:rsidP="008C70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D0D0D"/>
          <w:sz w:val="22"/>
          <w:szCs w:val="22"/>
          <w:lang w:val="es-ES_tradnl"/>
        </w:rPr>
      </w:pPr>
      <w:bookmarkStart w:id="3" w:name="_Toc444378355"/>
      <w:bookmarkStart w:id="4" w:name="_Toc33555473"/>
      <w:r w:rsidRPr="00752311">
        <w:rPr>
          <w:rFonts w:ascii="Arial Narrow" w:eastAsia="Times New Roman" w:hAnsi="Arial Narrow" w:cs="Times New Roman"/>
          <w:color w:val="0D0D0D"/>
          <w:sz w:val="22"/>
          <w:szCs w:val="22"/>
          <w:lang w:val="es-ES_tradnl"/>
        </w:rPr>
        <w:t>El objeto de la auditoría está constituido por la documentación e información relacionada:</w:t>
      </w:r>
    </w:p>
    <w:p w:rsidR="008C70F7" w:rsidRPr="00752311" w:rsidRDefault="008C70F7" w:rsidP="008C70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D0D0D"/>
          <w:sz w:val="22"/>
          <w:szCs w:val="22"/>
          <w:lang w:val="es-ES_tradnl"/>
        </w:rPr>
      </w:pPr>
    </w:p>
    <w:p w:rsidR="008C70F7" w:rsidRPr="00752311" w:rsidRDefault="008C70F7" w:rsidP="008C70F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752311">
        <w:rPr>
          <w:rFonts w:ascii="Arial Narrow" w:eastAsia="Times New Roman" w:hAnsi="Arial Narrow" w:cs="Times New Roman"/>
          <w:sz w:val="22"/>
          <w:szCs w:val="22"/>
        </w:rPr>
        <w:t>Plan Operativo Anual aprobado gestión 2021 e instrumentos que sustentan su formulación, aprobado mediante la Ley Municipal Autonómica N° 180/2020 de fecha 16 de octubre  de 2020.</w:t>
      </w:r>
    </w:p>
    <w:p w:rsidR="008C70F7" w:rsidRPr="00752311" w:rsidRDefault="008C70F7" w:rsidP="008C70F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752311">
        <w:rPr>
          <w:rFonts w:ascii="Arial Narrow" w:eastAsia="Times New Roman" w:hAnsi="Arial Narrow" w:cs="Times New Roman"/>
          <w:sz w:val="22"/>
          <w:szCs w:val="22"/>
        </w:rPr>
        <w:t>Plan Operativo Anual modificado y/o Ajustado</w:t>
      </w:r>
    </w:p>
    <w:p w:rsidR="008C70F7" w:rsidRPr="00752311" w:rsidRDefault="008C70F7" w:rsidP="008C70F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752311">
        <w:rPr>
          <w:rFonts w:ascii="Arial Narrow" w:eastAsia="Times New Roman" w:hAnsi="Arial Narrow" w:cs="Times New Roman"/>
          <w:color w:val="000000"/>
          <w:sz w:val="22"/>
          <w:szCs w:val="22"/>
          <w:lang w:val="es-ES" w:eastAsia="es-ES"/>
        </w:rPr>
        <w:t>Programa de Inversiones IDH</w:t>
      </w:r>
    </w:p>
    <w:p w:rsidR="008C70F7" w:rsidRPr="00752311" w:rsidRDefault="008C70F7" w:rsidP="008C70F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752311">
        <w:rPr>
          <w:rFonts w:ascii="Arial Narrow" w:eastAsia="Times New Roman" w:hAnsi="Arial Narrow" w:cs="Times New Roman"/>
          <w:sz w:val="22"/>
          <w:szCs w:val="22"/>
        </w:rPr>
        <w:t>Reportes de Ejecución Presupuestaria del SIGEP</w:t>
      </w:r>
    </w:p>
    <w:p w:rsidR="008C70F7" w:rsidRPr="00752311" w:rsidRDefault="008C70F7" w:rsidP="008C70F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752311">
        <w:rPr>
          <w:rFonts w:ascii="Arial Narrow" w:eastAsia="Times New Roman" w:hAnsi="Arial Narrow" w:cs="Times New Roman"/>
          <w:sz w:val="22"/>
          <w:szCs w:val="22"/>
        </w:rPr>
        <w:t>Estado de la Ejecución Presupuestaria de Gastos correspondiente a gestión 2021.</w:t>
      </w:r>
    </w:p>
    <w:p w:rsidR="008C70F7" w:rsidRPr="00752311" w:rsidRDefault="008C70F7" w:rsidP="008C70F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752311">
        <w:rPr>
          <w:rFonts w:ascii="Arial Narrow" w:eastAsia="Times New Roman" w:hAnsi="Arial Narrow" w:cs="Times New Roman"/>
          <w:sz w:val="22"/>
          <w:szCs w:val="22"/>
        </w:rPr>
        <w:t>Registros de ejecución de gastos referentes a los gastos efectuados con recursos del IDH.</w:t>
      </w:r>
    </w:p>
    <w:p w:rsidR="008C70F7" w:rsidRPr="00752311" w:rsidRDefault="008C70F7" w:rsidP="008C70F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752311">
        <w:rPr>
          <w:rFonts w:ascii="Arial Narrow" w:eastAsia="Times New Roman" w:hAnsi="Arial Narrow" w:cs="Times New Roman"/>
          <w:sz w:val="22"/>
          <w:szCs w:val="22"/>
        </w:rPr>
        <w:t>Informe físico financiero de los programas, proyectos y actividades ejecutados y financiados por el Gobierno Autónomo Municipal de Sucre con recursos del IDH.</w:t>
      </w:r>
    </w:p>
    <w:p w:rsidR="008C70F7" w:rsidRPr="00752311" w:rsidRDefault="008C70F7" w:rsidP="008C70F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752311">
        <w:rPr>
          <w:rFonts w:ascii="Arial Narrow" w:eastAsia="Times New Roman" w:hAnsi="Arial Narrow" w:cs="Times New Roman"/>
          <w:sz w:val="22"/>
          <w:szCs w:val="22"/>
        </w:rPr>
        <w:t>Informes de seguimiento a la ejecución de Recursos del IDH.</w:t>
      </w:r>
    </w:p>
    <w:p w:rsidR="008C70F7" w:rsidRPr="00752311" w:rsidRDefault="008C70F7" w:rsidP="008C70F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752311">
        <w:rPr>
          <w:rFonts w:ascii="Arial Narrow" w:eastAsia="Times New Roman" w:hAnsi="Arial Narrow" w:cs="Times New Roman"/>
          <w:sz w:val="22"/>
          <w:szCs w:val="22"/>
        </w:rPr>
        <w:t>Informe de Evaluación final de la Ejecución Física – Financiera del POA y presupuesto 2021, con recursos IDH.</w:t>
      </w:r>
    </w:p>
    <w:p w:rsidR="008C70F7" w:rsidRPr="00752311" w:rsidRDefault="008C70F7" w:rsidP="008C70F7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752311">
        <w:rPr>
          <w:rFonts w:ascii="Arial Narrow" w:eastAsia="Times New Roman" w:hAnsi="Arial Narrow" w:cs="Times New Roman"/>
          <w:sz w:val="22"/>
          <w:szCs w:val="22"/>
        </w:rPr>
        <w:t>Planilla de Avance de Obras si corresponde</w:t>
      </w:r>
    </w:p>
    <w:p w:rsidR="008C70F7" w:rsidRPr="00752311" w:rsidRDefault="008C70F7" w:rsidP="008C70F7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752311">
        <w:rPr>
          <w:rFonts w:ascii="Arial Narrow" w:eastAsia="Times New Roman" w:hAnsi="Arial Narrow" w:cs="Times New Roman"/>
          <w:sz w:val="22"/>
          <w:szCs w:val="22"/>
        </w:rPr>
        <w:t>Actas de Recepción Provisional y Definitiva</w:t>
      </w:r>
    </w:p>
    <w:p w:rsidR="008C70F7" w:rsidRPr="00752311" w:rsidRDefault="008C70F7" w:rsidP="008C70F7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752311">
        <w:rPr>
          <w:rFonts w:ascii="Arial Narrow" w:eastAsia="Times New Roman" w:hAnsi="Arial Narrow" w:cs="Times New Roman"/>
          <w:sz w:val="22"/>
          <w:szCs w:val="22"/>
        </w:rPr>
        <w:t>Actas de Recepción y Entrega de Bienes y/o Servicios.</w:t>
      </w:r>
    </w:p>
    <w:p w:rsidR="008C70F7" w:rsidRPr="00752311" w:rsidRDefault="008C70F7" w:rsidP="008C70F7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752311">
        <w:rPr>
          <w:rFonts w:ascii="Arial Narrow" w:eastAsia="Times New Roman" w:hAnsi="Arial Narrow" w:cs="Times New Roman"/>
          <w:sz w:val="22"/>
          <w:szCs w:val="22"/>
        </w:rPr>
        <w:t>Ficha de Inspección Física de Obras</w:t>
      </w:r>
    </w:p>
    <w:p w:rsidR="008C70F7" w:rsidRPr="00752311" w:rsidRDefault="008C70F7" w:rsidP="008C70F7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752311">
        <w:rPr>
          <w:rFonts w:ascii="Arial Narrow" w:eastAsia="Times New Roman" w:hAnsi="Arial Narrow" w:cs="Times New Roman"/>
          <w:sz w:val="22"/>
          <w:szCs w:val="22"/>
        </w:rPr>
        <w:t>Informes Técnicos del Supervisor y Fiscal</w:t>
      </w:r>
    </w:p>
    <w:p w:rsidR="008C70F7" w:rsidRPr="00752311" w:rsidRDefault="008C70F7" w:rsidP="008C70F7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752311">
        <w:rPr>
          <w:rFonts w:ascii="Arial Narrow" w:eastAsia="Times New Roman" w:hAnsi="Arial Narrow" w:cs="Times New Roman"/>
          <w:sz w:val="22"/>
          <w:szCs w:val="22"/>
        </w:rPr>
        <w:t>Fichas Técnicas de Seguimiento de Proyectos.</w:t>
      </w:r>
    </w:p>
    <w:p w:rsidR="008C70F7" w:rsidRPr="00752311" w:rsidRDefault="008C70F7" w:rsidP="008C70F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752311">
        <w:rPr>
          <w:rFonts w:ascii="Arial Narrow" w:eastAsia="Times New Roman" w:hAnsi="Arial Narrow" w:cs="Times New Roman"/>
          <w:sz w:val="22"/>
          <w:szCs w:val="22"/>
        </w:rPr>
        <w:t>Otra documentación e información relacionada al objeto de la auditoria</w:t>
      </w:r>
    </w:p>
    <w:p w:rsidR="008C70F7" w:rsidRPr="00752311" w:rsidRDefault="008C70F7" w:rsidP="008C70F7">
      <w:pPr>
        <w:spacing w:after="0"/>
        <w:ind w:left="782" w:hanging="782"/>
        <w:jc w:val="both"/>
        <w:rPr>
          <w:rFonts w:ascii="Arial Narrow" w:eastAsia="Times New Roman" w:hAnsi="Arial Narrow" w:cs="Times New Roman"/>
          <w:b/>
          <w:sz w:val="22"/>
          <w:szCs w:val="22"/>
        </w:rPr>
      </w:pPr>
    </w:p>
    <w:p w:rsidR="008C70F7" w:rsidRDefault="008C70F7" w:rsidP="008C70F7">
      <w:pPr>
        <w:spacing w:after="0"/>
        <w:ind w:left="782" w:hanging="782"/>
        <w:jc w:val="both"/>
        <w:rPr>
          <w:rFonts w:ascii="Arial Narrow" w:eastAsia="Times New Roman" w:hAnsi="Arial Narrow" w:cs="Times New Roman"/>
          <w:b/>
          <w:sz w:val="22"/>
          <w:szCs w:val="22"/>
        </w:rPr>
      </w:pPr>
    </w:p>
    <w:p w:rsidR="008C70F7" w:rsidRDefault="008C70F7" w:rsidP="008C70F7">
      <w:pPr>
        <w:spacing w:after="0"/>
        <w:ind w:left="782" w:hanging="782"/>
        <w:jc w:val="both"/>
        <w:rPr>
          <w:rFonts w:ascii="Arial Narrow" w:eastAsia="Times New Roman" w:hAnsi="Arial Narrow" w:cs="Times New Roman"/>
          <w:b/>
          <w:sz w:val="22"/>
          <w:szCs w:val="22"/>
        </w:rPr>
      </w:pPr>
    </w:p>
    <w:p w:rsidR="008C70F7" w:rsidRPr="00752311" w:rsidRDefault="008C70F7" w:rsidP="008C70F7">
      <w:pPr>
        <w:spacing w:after="0"/>
        <w:ind w:left="782" w:hanging="782"/>
        <w:jc w:val="both"/>
        <w:rPr>
          <w:rFonts w:ascii="Arial Narrow" w:eastAsia="Times New Roman" w:hAnsi="Arial Narrow" w:cs="Times New Roman"/>
          <w:b/>
          <w:sz w:val="22"/>
          <w:szCs w:val="22"/>
        </w:rPr>
      </w:pPr>
      <w:r w:rsidRPr="00752311">
        <w:rPr>
          <w:rFonts w:ascii="Arial Narrow" w:eastAsia="Times New Roman" w:hAnsi="Arial Narrow" w:cs="Times New Roman"/>
          <w:b/>
          <w:sz w:val="22"/>
          <w:szCs w:val="22"/>
        </w:rPr>
        <w:lastRenderedPageBreak/>
        <w:t>CONCLUSIÓN</w:t>
      </w:r>
      <w:bookmarkEnd w:id="3"/>
      <w:bookmarkEnd w:id="4"/>
    </w:p>
    <w:p w:rsidR="008C70F7" w:rsidRPr="00752311" w:rsidRDefault="008C70F7" w:rsidP="008C70F7">
      <w:pPr>
        <w:spacing w:after="0" w:line="240" w:lineRule="auto"/>
        <w:ind w:right="335"/>
        <w:jc w:val="both"/>
        <w:rPr>
          <w:rFonts w:ascii="Arial Narrow" w:eastAsia="Times New Roman" w:hAnsi="Arial Narrow" w:cs="Times New Roman"/>
          <w:sz w:val="22"/>
          <w:szCs w:val="22"/>
          <w:lang w:val="es-ES"/>
        </w:rPr>
      </w:pPr>
      <w:r w:rsidRPr="00752311">
        <w:rPr>
          <w:rFonts w:ascii="Arial Narrow" w:eastAsia="Times New Roman" w:hAnsi="Arial Narrow" w:cs="Times New Roman"/>
          <w:sz w:val="22"/>
          <w:szCs w:val="22"/>
        </w:rPr>
        <w:br/>
        <w:t>Como resultado de la “Auditoria Operacional del Impuesto Directo a los Hidrocarburos IDH Gestión 2021 del Gobierno Autónomo Municipal de Sucre”, s</w:t>
      </w:r>
      <w:proofErr w:type="spellStart"/>
      <w:r w:rsidRPr="00752311">
        <w:rPr>
          <w:rFonts w:ascii="Arial Narrow" w:eastAsia="Times New Roman" w:hAnsi="Arial Narrow" w:cs="Times New Roman"/>
          <w:sz w:val="22"/>
          <w:szCs w:val="22"/>
          <w:lang w:val="es-ES_tradnl"/>
        </w:rPr>
        <w:t>e</w:t>
      </w:r>
      <w:proofErr w:type="spellEnd"/>
      <w:r w:rsidRPr="00752311">
        <w:rPr>
          <w:rFonts w:ascii="Arial Narrow" w:eastAsia="Times New Roman" w:hAnsi="Arial Narrow" w:cs="Times New Roman"/>
          <w:sz w:val="22"/>
          <w:szCs w:val="22"/>
          <w:lang w:val="es-ES_tradnl"/>
        </w:rPr>
        <w:t xml:space="preserve"> concluye que </w:t>
      </w:r>
      <w:r w:rsidRPr="00752311">
        <w:rPr>
          <w:rFonts w:ascii="Arial Narrow" w:eastAsia="Times New Roman" w:hAnsi="Arial Narrow" w:cs="Times New Roman"/>
          <w:b/>
          <w:sz w:val="22"/>
          <w:szCs w:val="22"/>
          <w:lang w:val="es-ES_tradnl"/>
        </w:rPr>
        <w:t xml:space="preserve">Gobierno Autónomo Municipal de Sucre, </w:t>
      </w:r>
      <w:r w:rsidRPr="00752311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ha obtenido en la aplicación del indicador de Eficacia en el cumplimiento de los objetivos logrados en relación a los resultados esperados se obtiene una calificación de </w:t>
      </w:r>
      <w:r w:rsidRPr="00752311">
        <w:rPr>
          <w:rFonts w:ascii="Arial Narrow" w:eastAsia="Times New Roman" w:hAnsi="Arial Narrow" w:cs="Times New Roman"/>
          <w:b/>
          <w:sz w:val="22"/>
          <w:szCs w:val="22"/>
          <w:lang w:val="es-ES"/>
        </w:rPr>
        <w:t>Eficaz</w:t>
      </w:r>
      <w:r w:rsidRPr="00752311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con un porcentaje del </w:t>
      </w:r>
      <w:r w:rsidRPr="00752311">
        <w:rPr>
          <w:rFonts w:ascii="Arial Narrow" w:eastAsia="Times New Roman" w:hAnsi="Arial Narrow" w:cs="Times New Roman"/>
          <w:b/>
          <w:sz w:val="22"/>
          <w:szCs w:val="22"/>
          <w:lang w:val="es-ES"/>
        </w:rPr>
        <w:t>80%</w:t>
      </w:r>
      <w:r w:rsidRPr="00752311">
        <w:rPr>
          <w:rFonts w:ascii="Arial Narrow" w:eastAsia="Times New Roman" w:hAnsi="Arial Narrow" w:cs="Times New Roman"/>
          <w:sz w:val="22"/>
          <w:szCs w:val="22"/>
          <w:lang w:val="es-ES"/>
        </w:rPr>
        <w:t xml:space="preserve"> como se muestra: </w:t>
      </w:r>
    </w:p>
    <w:p w:rsidR="008C70F7" w:rsidRPr="00752311" w:rsidRDefault="008C70F7" w:rsidP="008C70F7">
      <w:pPr>
        <w:spacing w:after="0" w:line="240" w:lineRule="auto"/>
        <w:ind w:right="335"/>
        <w:rPr>
          <w:rFonts w:ascii="Arial Narrow" w:eastAsia="Times New Roman" w:hAnsi="Arial Narrow" w:cs="Times New Roman"/>
          <w:sz w:val="22"/>
          <w:szCs w:val="22"/>
          <w:lang w:val="es-ES"/>
        </w:rPr>
      </w:pPr>
    </w:p>
    <w:tbl>
      <w:tblPr>
        <w:tblW w:w="5070" w:type="dxa"/>
        <w:tblInd w:w="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509"/>
        <w:gridCol w:w="2051"/>
      </w:tblGrid>
      <w:tr w:rsidR="008C70F7" w:rsidRPr="00752311" w:rsidTr="00232B77">
        <w:trPr>
          <w:trHeight w:val="300"/>
        </w:trPr>
        <w:tc>
          <w:tcPr>
            <w:tcW w:w="1510" w:type="dxa"/>
            <w:shd w:val="clear" w:color="auto" w:fill="B3DDF2"/>
            <w:noWrap/>
            <w:vAlign w:val="bottom"/>
            <w:hideMark/>
          </w:tcPr>
          <w:p w:rsidR="008C70F7" w:rsidRPr="00752311" w:rsidRDefault="008C70F7" w:rsidP="00232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52311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RESULTADO</w:t>
            </w:r>
          </w:p>
        </w:tc>
        <w:tc>
          <w:tcPr>
            <w:tcW w:w="1509" w:type="dxa"/>
            <w:shd w:val="clear" w:color="auto" w:fill="B3DDF2"/>
            <w:noWrap/>
            <w:vAlign w:val="bottom"/>
            <w:hideMark/>
          </w:tcPr>
          <w:p w:rsidR="008C70F7" w:rsidRPr="00752311" w:rsidRDefault="008C70F7" w:rsidP="00232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52311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RANGO</w:t>
            </w:r>
          </w:p>
        </w:tc>
        <w:tc>
          <w:tcPr>
            <w:tcW w:w="2051" w:type="dxa"/>
            <w:shd w:val="clear" w:color="auto" w:fill="B3DDF2"/>
            <w:noWrap/>
            <w:vAlign w:val="bottom"/>
            <w:hideMark/>
          </w:tcPr>
          <w:p w:rsidR="008C70F7" w:rsidRPr="00752311" w:rsidRDefault="008C70F7" w:rsidP="00232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52311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CALIFICACIÓN</w:t>
            </w:r>
          </w:p>
        </w:tc>
      </w:tr>
      <w:tr w:rsidR="008C70F7" w:rsidRPr="00752311" w:rsidTr="00232B77">
        <w:trPr>
          <w:trHeight w:val="7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8C70F7" w:rsidRPr="00752311" w:rsidRDefault="008C70F7" w:rsidP="00232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s-ES" w:eastAsia="es-ES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C70F7" w:rsidRPr="00752311" w:rsidRDefault="008C70F7" w:rsidP="00232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ES" w:eastAsia="es-ES"/>
              </w:rPr>
            </w:pPr>
            <w:r w:rsidRPr="0075231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ES" w:eastAsia="es-ES"/>
              </w:rPr>
              <w:t>0% - 69%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C70F7" w:rsidRPr="00752311" w:rsidRDefault="008C70F7" w:rsidP="00232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ES" w:eastAsia="es-ES"/>
              </w:rPr>
            </w:pPr>
            <w:r w:rsidRPr="00752311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ES" w:eastAsia="es-ES"/>
              </w:rPr>
              <w:t>Ineficaz</w:t>
            </w:r>
          </w:p>
        </w:tc>
      </w:tr>
      <w:tr w:rsidR="008C70F7" w:rsidRPr="00752311" w:rsidTr="00232B77">
        <w:trPr>
          <w:trHeight w:val="70"/>
        </w:trPr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8C70F7" w:rsidRPr="00752311" w:rsidRDefault="008C70F7" w:rsidP="00232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2"/>
                <w:szCs w:val="22"/>
                <w:lang w:val="es-ES" w:eastAsia="es-ES"/>
              </w:rPr>
            </w:pPr>
            <w:r w:rsidRPr="00752311">
              <w:rPr>
                <w:rFonts w:ascii="Arial Narrow" w:eastAsia="Times New Roman" w:hAnsi="Arial Narrow" w:cs="Times New Roman"/>
                <w:b/>
                <w:color w:val="000000"/>
                <w:sz w:val="22"/>
                <w:szCs w:val="22"/>
                <w:lang w:val="es-ES" w:eastAsia="es-ES"/>
              </w:rPr>
              <w:t>80%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C70F7" w:rsidRPr="00752311" w:rsidRDefault="008C70F7" w:rsidP="00232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2"/>
                <w:szCs w:val="22"/>
                <w:lang w:val="es-ES" w:eastAsia="es-ES"/>
              </w:rPr>
            </w:pPr>
            <w:r w:rsidRPr="00752311">
              <w:rPr>
                <w:rFonts w:ascii="Arial Narrow" w:eastAsia="Times New Roman" w:hAnsi="Arial Narrow" w:cs="Times New Roman"/>
                <w:b/>
                <w:color w:val="000000"/>
                <w:sz w:val="22"/>
                <w:szCs w:val="22"/>
                <w:lang w:val="es-ES" w:eastAsia="es-ES"/>
              </w:rPr>
              <w:t>70% - 100%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8C70F7" w:rsidRPr="00752311" w:rsidRDefault="008C70F7" w:rsidP="00232B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2"/>
                <w:szCs w:val="22"/>
                <w:lang w:val="es-ES" w:eastAsia="es-ES"/>
              </w:rPr>
            </w:pPr>
            <w:r w:rsidRPr="00752311">
              <w:rPr>
                <w:rFonts w:ascii="Arial Narrow" w:eastAsia="Times New Roman" w:hAnsi="Arial Narrow" w:cs="Times New Roman"/>
                <w:b/>
                <w:color w:val="000000"/>
                <w:sz w:val="22"/>
                <w:szCs w:val="22"/>
                <w:lang w:val="es-ES" w:eastAsia="es-ES"/>
              </w:rPr>
              <w:t>Eficaz</w:t>
            </w:r>
          </w:p>
        </w:tc>
      </w:tr>
    </w:tbl>
    <w:p w:rsidR="008C70F7" w:rsidRPr="00752311" w:rsidRDefault="008C70F7" w:rsidP="008C70F7">
      <w:pPr>
        <w:spacing w:after="160" w:line="259" w:lineRule="auto"/>
        <w:jc w:val="both"/>
        <w:rPr>
          <w:rFonts w:ascii="Arial Narrow" w:eastAsia="Times New Roman" w:hAnsi="Arial Narrow" w:cs="Times New Roman"/>
          <w:sz w:val="22"/>
          <w:szCs w:val="22"/>
          <w:highlight w:val="yellow"/>
          <w:lang w:val="es-ES" w:eastAsia="es-ES"/>
        </w:rPr>
      </w:pPr>
    </w:p>
    <w:p w:rsidR="00035035" w:rsidRDefault="00035035"/>
    <w:sectPr w:rsidR="00035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25785"/>
    <w:multiLevelType w:val="hybridMultilevel"/>
    <w:tmpl w:val="8B3E673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D0B51"/>
    <w:multiLevelType w:val="hybridMultilevel"/>
    <w:tmpl w:val="25A44F26"/>
    <w:lvl w:ilvl="0" w:tplc="565C839A">
      <w:start w:val="1"/>
      <w:numFmt w:val="bullet"/>
      <w:lvlText w:val="-"/>
      <w:lvlJc w:val="left"/>
      <w:pPr>
        <w:ind w:left="785" w:hanging="360"/>
      </w:pPr>
      <w:rPr>
        <w:rFonts w:ascii="Arial Narrow" w:eastAsiaTheme="minorHAnsi" w:hAnsi="Arial Narrow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43"/>
    <w:rsid w:val="00035035"/>
    <w:rsid w:val="00522E43"/>
    <w:rsid w:val="008C70F7"/>
    <w:rsid w:val="0099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F7"/>
    <w:pPr>
      <w:spacing w:line="288" w:lineRule="auto"/>
    </w:pPr>
    <w:rPr>
      <w:rFonts w:eastAsiaTheme="minorEastAsia"/>
      <w:sz w:val="21"/>
      <w:szCs w:val="21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522E43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522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F7"/>
    <w:pPr>
      <w:spacing w:line="288" w:lineRule="auto"/>
    </w:pPr>
    <w:rPr>
      <w:rFonts w:eastAsiaTheme="minorEastAsia"/>
      <w:sz w:val="21"/>
      <w:szCs w:val="21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522E43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52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2022-06-15T13:15:00Z</dcterms:created>
  <dcterms:modified xsi:type="dcterms:W3CDTF">2022-06-15T13:15:00Z</dcterms:modified>
</cp:coreProperties>
</file>