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F2" w:rsidRPr="00A300D9" w:rsidRDefault="00E749F2" w:rsidP="00E749F2">
      <w:pPr>
        <w:spacing w:after="0" w:line="240" w:lineRule="auto"/>
        <w:jc w:val="center"/>
        <w:rPr>
          <w:rFonts w:ascii="Arial Narrow" w:eastAsia="MingLiU_HKSCS-ExtB" w:hAnsi="Arial Narrow"/>
          <w:b/>
          <w:i/>
          <w:u w:val="single"/>
        </w:rPr>
      </w:pPr>
      <w:r w:rsidRPr="00A300D9">
        <w:rPr>
          <w:rFonts w:ascii="Arial Narrow" w:eastAsia="MingLiU_HKSCS-ExtB" w:hAnsi="Arial Narrow"/>
          <w:b/>
          <w:i/>
          <w:u w:val="single"/>
        </w:rPr>
        <w:t>RESUMEN EJECUTIVO</w:t>
      </w:r>
    </w:p>
    <w:p w:rsidR="00E749F2" w:rsidRPr="00A300D9" w:rsidRDefault="00E749F2" w:rsidP="00E749F2">
      <w:pPr>
        <w:spacing w:after="0" w:line="240" w:lineRule="auto"/>
        <w:jc w:val="center"/>
        <w:rPr>
          <w:rFonts w:ascii="Arial Narrow" w:eastAsia="MingLiU_HKSCS-ExtB" w:hAnsi="Arial Narrow"/>
          <w:b/>
          <w:i/>
          <w:u w:val="single"/>
        </w:rPr>
      </w:pP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</w:rPr>
      </w:pP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 w:rsidRPr="00A300D9">
        <w:rPr>
          <w:rFonts w:ascii="Arial Narrow" w:eastAsia="MingLiU_HKSCS-ExtB" w:hAnsi="Arial Narrow"/>
        </w:rPr>
        <w:t xml:space="preserve">Informe de Auditoria INF. D.A.I. N° 05/2022 </w:t>
      </w:r>
      <w:r w:rsidRPr="00A300D9">
        <w:rPr>
          <w:rFonts w:ascii="Arial Narrow" w:hAnsi="Arial Narrow"/>
        </w:rPr>
        <w:t xml:space="preserve"> INFORME DE SEGUIMIENTO A LAS RECOMENDACIONES </w:t>
      </w:r>
      <w:r w:rsidRPr="00A300D9">
        <w:rPr>
          <w:rFonts w:ascii="Arial Narrow" w:eastAsia="MingLiU_HKSCS-ExtB" w:hAnsi="Arial Narrow"/>
        </w:rPr>
        <w:t xml:space="preserve">DEL INF.: D.A.I. N° 31/2020 </w:t>
      </w:r>
      <w:r w:rsidRPr="00A300D9">
        <w:rPr>
          <w:rFonts w:ascii="Arial Narrow" w:eastAsia="MS Gothic" w:hAnsi="Arial Narrow" w:cs="MS Gothic"/>
        </w:rPr>
        <w:t>“</w:t>
      </w:r>
      <w:r w:rsidRPr="00A300D9">
        <w:rPr>
          <w:rFonts w:ascii="Arial Narrow" w:eastAsia="MingLiU_HKSCS-ExtB" w:hAnsi="Arial Narrow"/>
        </w:rPr>
        <w:t>AUDITOR</w:t>
      </w:r>
      <w:r w:rsidRPr="00A300D9">
        <w:rPr>
          <w:rFonts w:ascii="Arial Narrow" w:eastAsia="MingLiU_HKSCS-ExtB" w:hAnsi="Arial Narrow" w:cs="MingLiU_HKSCS-ExtB"/>
        </w:rPr>
        <w:t>Í</w:t>
      </w:r>
      <w:r w:rsidRPr="00A300D9">
        <w:rPr>
          <w:rFonts w:ascii="Arial Narrow" w:eastAsia="MingLiU_HKSCS-ExtB" w:hAnsi="Arial Narrow"/>
        </w:rPr>
        <w:t>A ESPECIAL A LA ADMINISTRACI</w:t>
      </w:r>
      <w:r w:rsidRPr="00A300D9">
        <w:rPr>
          <w:rFonts w:ascii="Arial Narrow" w:eastAsia="MingLiU_HKSCS-ExtB" w:hAnsi="Arial Narrow" w:cs="MingLiU_HKSCS-ExtB"/>
        </w:rPr>
        <w:t>Ó</w:t>
      </w:r>
      <w:r w:rsidRPr="00A300D9">
        <w:rPr>
          <w:rFonts w:ascii="Arial Narrow" w:eastAsia="MingLiU_HKSCS-ExtB" w:hAnsi="Arial Narrow"/>
        </w:rPr>
        <w:t>N Y MANEJO DEL CENTRO INTEGRAL DE DESARROLLO INFANTIL MUNICIPAL MERCADO CAMPESINO CORRESPONDIENTE A LA GESTIÓN - 2019</w:t>
      </w:r>
      <w:r w:rsidRPr="00A300D9">
        <w:rPr>
          <w:rFonts w:ascii="Arial Narrow" w:eastAsia="MS Gothic" w:hAnsi="Arial Narrow" w:cs="MS Gothic"/>
        </w:rPr>
        <w:t>”</w:t>
      </w:r>
      <w:r w:rsidRPr="00A300D9">
        <w:rPr>
          <w:rFonts w:ascii="Arial Narrow" w:eastAsia="MingLiU_HKSCS-ExtB" w:hAnsi="Arial Narrow"/>
        </w:rPr>
        <w:t xml:space="preserve">, ejecutada </w:t>
      </w:r>
      <w:r w:rsidRPr="00A300D9">
        <w:rPr>
          <w:rFonts w:ascii="Arial Narrow" w:hAnsi="Arial Narrow"/>
        </w:rPr>
        <w:t xml:space="preserve">en aplicación de la Resolución N° CGR-1/010/97 emitido por la Contraloría General del Estado;  Artículo Primero que indica: </w:t>
      </w:r>
      <w:r w:rsidRPr="00A300D9">
        <w:rPr>
          <w:rFonts w:ascii="Arial Narrow" w:hAnsi="Arial Narrow"/>
          <w:i/>
        </w:rPr>
        <w:t xml:space="preserve">”Las Unidades de Auditoria Interna de cada Entidad Publica deben efectuar exámenes específicos de seguimiento al cumplimiento de las recomendaciones, emergentes de sus propios informes y de las auditorias que se practiquen en dichas entidades…”, </w:t>
      </w:r>
      <w:r w:rsidRPr="00A300D9">
        <w:rPr>
          <w:rFonts w:ascii="Arial Narrow" w:eastAsia="MingLiU_HKSCS-ExtB" w:hAnsi="Arial Narrow"/>
        </w:rPr>
        <w:t xml:space="preserve"> además se ha considerado el cumplimiento de los Formatos 1 (de Aceptación de las Recomendaciones  y  Formato  2 (Implantación de las recomendaciones)  res</w:t>
      </w:r>
      <w:bookmarkStart w:id="0" w:name="_GoBack"/>
      <w:bookmarkEnd w:id="0"/>
      <w:r w:rsidRPr="00A300D9">
        <w:rPr>
          <w:rFonts w:ascii="Arial Narrow" w:eastAsia="MingLiU_HKSCS-ExtB" w:hAnsi="Arial Narrow"/>
        </w:rPr>
        <w:t xml:space="preserve">pectivamente.  </w:t>
      </w: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  <w:b/>
        </w:rPr>
      </w:pP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 w:rsidRPr="00A300D9">
        <w:rPr>
          <w:rFonts w:ascii="Arial Narrow" w:eastAsia="MingLiU_HKSCS-ExtB" w:hAnsi="Arial Narrow"/>
          <w:b/>
        </w:rPr>
        <w:t>OBJETIVO</w:t>
      </w: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</w:rPr>
      </w:pP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 w:rsidRPr="00A300D9">
        <w:rPr>
          <w:rFonts w:ascii="Arial Narrow" w:eastAsia="MingLiU_HKSCS-ExtB" w:hAnsi="Arial Narrow"/>
        </w:rPr>
        <w:t xml:space="preserve">El objetivo del Seguimiento es determinar el cumplimiento de las recomendaciones establecidas en el INF.D.A.I. N° 31/2020 referente a la </w:t>
      </w:r>
      <w:r w:rsidRPr="00A300D9">
        <w:rPr>
          <w:rFonts w:ascii="Arial Narrow" w:eastAsia="MS Gothic" w:hAnsi="Arial Narrow" w:cs="MS Gothic"/>
        </w:rPr>
        <w:t>“</w:t>
      </w:r>
      <w:r w:rsidRPr="00A300D9">
        <w:rPr>
          <w:rFonts w:ascii="Arial Narrow" w:eastAsia="MingLiU_HKSCS-ExtB" w:hAnsi="Arial Narrow"/>
        </w:rPr>
        <w:t>Auditor</w:t>
      </w:r>
      <w:r w:rsidRPr="00A300D9">
        <w:rPr>
          <w:rFonts w:ascii="Arial Narrow" w:eastAsia="MingLiU_HKSCS-ExtB" w:hAnsi="Arial Narrow" w:cs="MingLiU_HKSCS-ExtB"/>
        </w:rPr>
        <w:t>í</w:t>
      </w:r>
      <w:r w:rsidRPr="00A300D9">
        <w:rPr>
          <w:rFonts w:ascii="Arial Narrow" w:eastAsia="MingLiU_HKSCS-ExtB" w:hAnsi="Arial Narrow"/>
        </w:rPr>
        <w:t>a Especial a la Administración y Manejo del Centro Integral de Desarrollo Infantil Municipal Mercado Campesino Correspondiente a la Gestión - 2019</w:t>
      </w:r>
      <w:r w:rsidRPr="00A300D9">
        <w:rPr>
          <w:rFonts w:ascii="Arial Narrow" w:eastAsia="MS Gothic" w:hAnsi="Arial Narrow" w:cs="MS Gothic"/>
        </w:rPr>
        <w:t>”</w:t>
      </w:r>
      <w:r w:rsidRPr="00A300D9">
        <w:rPr>
          <w:rFonts w:ascii="Arial Narrow" w:eastAsia="MingLiU_HKSCS-ExtB" w:hAnsi="Arial Narrow"/>
        </w:rPr>
        <w:t xml:space="preserve"> y su implantación de las mismas</w:t>
      </w: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  <w:b/>
        </w:rPr>
      </w:pP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 w:rsidRPr="00A300D9">
        <w:rPr>
          <w:rFonts w:ascii="Arial Narrow" w:eastAsia="MingLiU_HKSCS-ExtB" w:hAnsi="Arial Narrow"/>
          <w:b/>
        </w:rPr>
        <w:t xml:space="preserve">OBJETO </w:t>
      </w: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</w:rPr>
      </w:pP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 xml:space="preserve">El objeto del presente seguimiento constituye la siguiente documentación relacionada con la aceptación e implantación de las recomendaciones como: </w:t>
      </w: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</w:rPr>
      </w:pPr>
    </w:p>
    <w:p w:rsidR="00E749F2" w:rsidRPr="00A300D9" w:rsidRDefault="00E749F2" w:rsidP="00E749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 xml:space="preserve">Informe de Control Interno INF.: D.A.I. N° 31/2020 de </w:t>
      </w:r>
      <w:r w:rsidRPr="00A300D9">
        <w:rPr>
          <w:rFonts w:ascii="Arial Narrow" w:eastAsia="MS Gothic" w:hAnsi="Arial Narrow" w:cs="MS Gothic"/>
        </w:rPr>
        <w:t>“</w:t>
      </w:r>
      <w:r w:rsidRPr="00A300D9">
        <w:rPr>
          <w:rFonts w:ascii="Arial Narrow" w:eastAsia="MingLiU_HKSCS-ExtB" w:hAnsi="Arial Narrow"/>
        </w:rPr>
        <w:t>Auditor</w:t>
      </w:r>
      <w:r w:rsidRPr="00A300D9">
        <w:rPr>
          <w:rFonts w:ascii="Arial Narrow" w:eastAsia="MingLiU_HKSCS-ExtB" w:hAnsi="Arial Narrow" w:cs="MingLiU_HKSCS-ExtB"/>
        </w:rPr>
        <w:t>í</w:t>
      </w:r>
      <w:r w:rsidRPr="00A300D9">
        <w:rPr>
          <w:rFonts w:ascii="Arial Narrow" w:eastAsia="MingLiU_HKSCS-ExtB" w:hAnsi="Arial Narrow"/>
        </w:rPr>
        <w:t>a Especial a la Administraci</w:t>
      </w:r>
      <w:r w:rsidRPr="00A300D9">
        <w:rPr>
          <w:rFonts w:ascii="Arial Narrow" w:eastAsia="MingLiU_HKSCS-ExtB" w:hAnsi="Arial Narrow" w:cs="MingLiU_HKSCS-ExtB"/>
        </w:rPr>
        <w:t>ó</w:t>
      </w:r>
      <w:r w:rsidRPr="00A300D9">
        <w:rPr>
          <w:rFonts w:ascii="Arial Narrow" w:eastAsia="MingLiU_HKSCS-ExtB" w:hAnsi="Arial Narrow"/>
        </w:rPr>
        <w:t>n y Manejo del Centro Integral de Desarrollo Infantil Municipal Mercado Campesino correspondiente  a la Gestión - 2019</w:t>
      </w:r>
      <w:r w:rsidRPr="00A300D9">
        <w:rPr>
          <w:rFonts w:ascii="Arial Narrow" w:eastAsia="MS Gothic" w:hAnsi="Arial Narrow" w:cs="MS Gothic"/>
        </w:rPr>
        <w:t>”</w:t>
      </w:r>
    </w:p>
    <w:p w:rsidR="00E749F2" w:rsidRPr="00A300D9" w:rsidRDefault="00E749F2" w:rsidP="00E749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>Notas Remitidas y Recibidas</w:t>
      </w:r>
    </w:p>
    <w:p w:rsidR="00E749F2" w:rsidRPr="00A300D9" w:rsidRDefault="00E749F2" w:rsidP="00E749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>Formatos 1 y 2 de Aceptación e implantación de Recomendaciones respectivamente.</w:t>
      </w:r>
    </w:p>
    <w:p w:rsidR="00E749F2" w:rsidRPr="00A300D9" w:rsidRDefault="00E749F2" w:rsidP="00E749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 xml:space="preserve">Comunicaciones internas remitidas de Secretarias competentes a sus dependientes. </w:t>
      </w:r>
    </w:p>
    <w:p w:rsidR="00E749F2" w:rsidRPr="00A300D9" w:rsidRDefault="00E749F2" w:rsidP="00E749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 xml:space="preserve">Acta de reunión de implantación de recomendaciones de auditoria. </w:t>
      </w:r>
    </w:p>
    <w:p w:rsidR="00E749F2" w:rsidRPr="00A300D9" w:rsidRDefault="00E749F2" w:rsidP="00E749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>Documentación e información que respalda la implantación de cada una de las Recomendaciones establecidos en los Formatos 1 y 2.</w:t>
      </w:r>
    </w:p>
    <w:p w:rsidR="00E749F2" w:rsidRPr="00A300D9" w:rsidRDefault="00E749F2" w:rsidP="00E749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eastAsia="MingLiU_HKSCS-ExtB" w:hAnsi="Arial Narrow"/>
        </w:rPr>
      </w:pPr>
      <w:r w:rsidRPr="00A300D9">
        <w:rPr>
          <w:rFonts w:ascii="Arial Narrow" w:eastAsia="MingLiU_HKSCS-ExtB" w:hAnsi="Arial Narrow"/>
        </w:rPr>
        <w:t xml:space="preserve">Otra documentación e información relacionada con las recomendaciones. </w:t>
      </w: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  <w:b/>
        </w:rPr>
      </w:pP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  <w:b/>
        </w:rPr>
      </w:pPr>
      <w:r w:rsidRPr="00A300D9">
        <w:rPr>
          <w:rFonts w:ascii="Arial Narrow" w:eastAsia="MingLiU_HKSCS-ExtB" w:hAnsi="Arial Narrow"/>
          <w:b/>
        </w:rPr>
        <w:t>CONCLUSIONES</w:t>
      </w:r>
    </w:p>
    <w:p w:rsidR="00E749F2" w:rsidRPr="00A300D9" w:rsidRDefault="00E749F2" w:rsidP="00E749F2">
      <w:pPr>
        <w:spacing w:after="0" w:line="240" w:lineRule="auto"/>
        <w:jc w:val="both"/>
        <w:rPr>
          <w:rFonts w:ascii="Arial Narrow" w:eastAsia="MingLiU_HKSCS-ExtB" w:hAnsi="Arial Narrow"/>
          <w:b/>
        </w:rPr>
      </w:pPr>
    </w:p>
    <w:p w:rsidR="00E749F2" w:rsidRPr="00A300D9" w:rsidRDefault="00E749F2" w:rsidP="00E749F2">
      <w:pPr>
        <w:jc w:val="both"/>
        <w:rPr>
          <w:rFonts w:ascii="Arial Narrow" w:hAnsi="Arial Narrow"/>
        </w:rPr>
      </w:pPr>
      <w:r w:rsidRPr="00A300D9">
        <w:rPr>
          <w:rFonts w:ascii="Arial Narrow" w:hAnsi="Arial Narrow"/>
        </w:rPr>
        <w:t xml:space="preserve">Como resultado del seguimiento sobre el cumplimiento de las recomendaciones contenidas en el </w:t>
      </w:r>
      <w:r w:rsidRPr="00A300D9">
        <w:rPr>
          <w:rFonts w:ascii="Arial Narrow" w:eastAsia="MingLiU_HKSCS-ExtB" w:hAnsi="Arial Narrow"/>
        </w:rPr>
        <w:t xml:space="preserve">INF.D.A.I. N° 31/2020 </w:t>
      </w:r>
      <w:r w:rsidRPr="00A300D9">
        <w:rPr>
          <w:rFonts w:ascii="Arial Narrow" w:eastAsia="MS Gothic" w:hAnsi="Arial Narrow" w:cs="MS Gothic"/>
        </w:rPr>
        <w:t>“</w:t>
      </w:r>
      <w:r w:rsidRPr="00A300D9">
        <w:rPr>
          <w:rFonts w:ascii="Arial Narrow" w:eastAsia="MingLiU_HKSCS-ExtB" w:hAnsi="Arial Narrow"/>
        </w:rPr>
        <w:t>AUDITOR</w:t>
      </w:r>
      <w:r w:rsidRPr="00A300D9">
        <w:rPr>
          <w:rFonts w:ascii="Arial Narrow" w:eastAsia="MingLiU_HKSCS-ExtB" w:hAnsi="Arial Narrow" w:cs="MingLiU_HKSCS-ExtB"/>
        </w:rPr>
        <w:t>Í</w:t>
      </w:r>
      <w:r w:rsidRPr="00A300D9">
        <w:rPr>
          <w:rFonts w:ascii="Arial Narrow" w:eastAsia="MingLiU_HKSCS-ExtB" w:hAnsi="Arial Narrow"/>
        </w:rPr>
        <w:t>A ESPECIAL A LA ADMINISTRACI</w:t>
      </w:r>
      <w:r w:rsidRPr="00A300D9">
        <w:rPr>
          <w:rFonts w:ascii="Arial Narrow" w:eastAsia="MingLiU_HKSCS-ExtB" w:hAnsi="Arial Narrow" w:cs="MingLiU_HKSCS-ExtB"/>
        </w:rPr>
        <w:t>Ó</w:t>
      </w:r>
      <w:r w:rsidRPr="00A300D9">
        <w:rPr>
          <w:rFonts w:ascii="Arial Narrow" w:eastAsia="MingLiU_HKSCS-ExtB" w:hAnsi="Arial Narrow"/>
        </w:rPr>
        <w:t xml:space="preserve">N Y MANEJO DEL CENTRO INTEGRAL DE DESARROLLO INFANTIL MUNICIPAL MERCADO CAMPESINO CORRESPONDIENTE A LA GESTIÓN – 2019 (Control Interno) </w:t>
      </w:r>
      <w:r w:rsidRPr="00A300D9">
        <w:rPr>
          <w:rFonts w:ascii="Arial Narrow" w:hAnsi="Arial Narrow"/>
        </w:rPr>
        <w:t>y la revisión de la documentación de implantación de las  recomendaciones R.2.1, R. 2.2, R.2.3 y R.2.4, se concluye que estas fueron CUMPLIDAS, logrando mejorar el control interno en la administración del  Centro Integral de Desarrollo Infantil Municipal Mercado Campesino del Gobierno Autónomo Municipal de Sucre.</w:t>
      </w:r>
    </w:p>
    <w:p w:rsidR="00E749F2" w:rsidRPr="00A300D9" w:rsidRDefault="00E749F2" w:rsidP="00E749F2">
      <w:pPr>
        <w:jc w:val="both"/>
        <w:rPr>
          <w:rFonts w:ascii="Arial Narrow" w:hAnsi="Arial Narrow"/>
        </w:rPr>
      </w:pPr>
    </w:p>
    <w:p w:rsidR="00E749F2" w:rsidRPr="00A300D9" w:rsidRDefault="00E749F2" w:rsidP="00E749F2">
      <w:pPr>
        <w:jc w:val="both"/>
        <w:rPr>
          <w:rFonts w:ascii="Arial Narrow" w:hAnsi="Arial Narrow"/>
        </w:rPr>
      </w:pPr>
    </w:p>
    <w:p w:rsidR="00E749F2" w:rsidRPr="00A300D9" w:rsidRDefault="00E749F2" w:rsidP="00E749F2">
      <w:pPr>
        <w:jc w:val="both"/>
        <w:rPr>
          <w:rFonts w:ascii="Arial Narrow" w:hAnsi="Arial Narrow"/>
        </w:rPr>
      </w:pPr>
    </w:p>
    <w:p w:rsidR="00E749F2" w:rsidRPr="00A300D9" w:rsidRDefault="00E749F2" w:rsidP="00E749F2">
      <w:pPr>
        <w:jc w:val="both"/>
        <w:rPr>
          <w:rFonts w:ascii="Arial Narrow" w:hAnsi="Arial Narrow"/>
        </w:rPr>
      </w:pPr>
    </w:p>
    <w:p w:rsidR="00E749F2" w:rsidRPr="00A300D9" w:rsidRDefault="00E749F2" w:rsidP="00E749F2">
      <w:pPr>
        <w:jc w:val="center"/>
        <w:rPr>
          <w:rFonts w:ascii="Arial Narrow" w:hAnsi="Arial Narrow"/>
        </w:rPr>
      </w:pPr>
      <w:r w:rsidRPr="00A300D9">
        <w:rPr>
          <w:rFonts w:ascii="Arial Narrow" w:hAnsi="Arial Narrow"/>
        </w:rPr>
        <w:t>Sucre - Bolivia</w:t>
      </w:r>
    </w:p>
    <w:p w:rsidR="00035035" w:rsidRPr="00E749F2" w:rsidRDefault="00035035" w:rsidP="00E749F2"/>
    <w:sectPr w:rsidR="00035035" w:rsidRPr="00E749F2" w:rsidSect="00E749F2"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43"/>
    <w:rsid w:val="00035035"/>
    <w:rsid w:val="00522E43"/>
    <w:rsid w:val="008C70F7"/>
    <w:rsid w:val="009965E6"/>
    <w:rsid w:val="00D0503A"/>
    <w:rsid w:val="00E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F7"/>
    <w:pPr>
      <w:spacing w:line="288" w:lineRule="auto"/>
    </w:pPr>
    <w:rPr>
      <w:rFonts w:eastAsiaTheme="minorEastAsia"/>
      <w:sz w:val="21"/>
      <w:szCs w:val="21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522E43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52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2022-06-15T13:20:00Z</dcterms:created>
  <dcterms:modified xsi:type="dcterms:W3CDTF">2022-06-15T13:20:00Z</dcterms:modified>
</cp:coreProperties>
</file>