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4B" w:rsidRPr="00EB504B" w:rsidRDefault="00EB504B" w:rsidP="00EB504B">
      <w:pPr>
        <w:spacing w:after="0" w:line="240" w:lineRule="auto"/>
        <w:jc w:val="center"/>
        <w:rPr>
          <w:rFonts w:ascii="Arial Narrow" w:eastAsiaTheme="minorHAnsi" w:hAnsi="Arial Narrow" w:cs="Times New Roman"/>
          <w:b/>
          <w:sz w:val="24"/>
          <w:szCs w:val="22"/>
          <w:lang w:val="es-BO" w:eastAsia="en-US"/>
        </w:rPr>
      </w:pPr>
      <w:r w:rsidRPr="00EB504B">
        <w:rPr>
          <w:rFonts w:ascii="Arial Narrow" w:eastAsiaTheme="minorHAnsi" w:hAnsi="Arial Narrow" w:cs="Times New Roman"/>
          <w:b/>
          <w:sz w:val="24"/>
          <w:szCs w:val="22"/>
          <w:lang w:val="es-BO" w:eastAsia="en-US"/>
        </w:rPr>
        <w:t>RESUMEN EJECUTIVO</w:t>
      </w:r>
    </w:p>
    <w:p w:rsidR="00EB504B" w:rsidRPr="00EB504B" w:rsidRDefault="00EB504B" w:rsidP="00EB504B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2"/>
          <w:szCs w:val="22"/>
          <w:lang w:val="es-BO" w:eastAsia="en-US"/>
        </w:rPr>
      </w:pPr>
    </w:p>
    <w:p w:rsidR="00EB504B" w:rsidRPr="00EB504B" w:rsidRDefault="00EB504B" w:rsidP="00EB504B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2"/>
          <w:szCs w:val="22"/>
          <w:lang w:val="es-BO" w:eastAsia="en-US"/>
        </w:rPr>
      </w:pPr>
      <w:r w:rsidRPr="00EB504B">
        <w:rPr>
          <w:rFonts w:ascii="Arial Narrow" w:hAnsi="Arial Narrow" w:cs="Times New Roman"/>
          <w:color w:val="000000" w:themeColor="text1"/>
          <w:sz w:val="22"/>
          <w:szCs w:val="22"/>
          <w:lang w:eastAsia="en-US"/>
        </w:rPr>
        <w:t>Informe de Auditoría Interna INF. D.A.I. N° 08/2022</w:t>
      </w:r>
      <w:r w:rsidRPr="00EB504B">
        <w:rPr>
          <w:rFonts w:ascii="Arial Narrow" w:hAnsi="Arial Narrow" w:cs="Times New Roman"/>
          <w:color w:val="000000" w:themeColor="text1"/>
          <w:sz w:val="22"/>
          <w:szCs w:val="22"/>
          <w:lang w:val="es-BO" w:eastAsia="en-US"/>
        </w:rPr>
        <w:t>, SEGUIMIENTO al INF D.A.I. N° 04/2021 “AUDITORÍA OPERACIONAL SOBRE EL CUMPLIMIENTO DEL PROGRAMA OPERATIVO ANUAL (POA) DE LA GESTIÓN 2020 CON RECURSOS PROVENIENTES DEL IMPUESTO DIRECTO A LOS HIDROCARBUROS Y SUS DERIVADOS – IDH”,</w:t>
      </w:r>
      <w:r w:rsidRPr="00EB504B">
        <w:rPr>
          <w:rFonts w:eastAsiaTheme="minorHAnsi"/>
          <w:sz w:val="22"/>
          <w:szCs w:val="22"/>
          <w:lang w:val="es-BO" w:eastAsia="en-US"/>
        </w:rPr>
        <w:t xml:space="preserve"> </w:t>
      </w:r>
      <w:r w:rsidRPr="00EB504B">
        <w:rPr>
          <w:rFonts w:ascii="Arial Narrow" w:hAnsi="Arial Narrow" w:cs="Times New Roman"/>
          <w:color w:val="000000" w:themeColor="text1"/>
          <w:sz w:val="22"/>
          <w:szCs w:val="22"/>
          <w:lang w:val="es-BO" w:eastAsia="en-US"/>
        </w:rPr>
        <w:t>en cumplimiento al Plan Operativo Anual POA 2022 y Comunicación Interna CITE Nº 027/2022 de 03 de marzo de 2022 de la Dirección de Auditoria Interna  y en aplicación a las Normas Generales de Auditoría Gubernamental aprobado con Resolución N° CGE/094/2012 de fecha 27 de agosto de 2012 de la Contraloría General de Estado, norma 219.01 (Seguimiento).</w:t>
      </w:r>
    </w:p>
    <w:p w:rsidR="00EB504B" w:rsidRPr="00EB504B" w:rsidRDefault="00EB504B" w:rsidP="00EB504B">
      <w:pPr>
        <w:spacing w:after="0" w:line="240" w:lineRule="auto"/>
        <w:rPr>
          <w:rFonts w:ascii="Arial Narrow" w:eastAsiaTheme="minorHAnsi" w:hAnsi="Arial Narrow" w:cs="Times New Roman"/>
          <w:b/>
          <w:sz w:val="22"/>
          <w:szCs w:val="22"/>
          <w:u w:val="single"/>
          <w:lang w:val="es-BO" w:eastAsia="en-US"/>
        </w:rPr>
      </w:pPr>
    </w:p>
    <w:p w:rsidR="00EB504B" w:rsidRPr="00EB504B" w:rsidRDefault="00EB504B" w:rsidP="00EB504B">
      <w:pPr>
        <w:tabs>
          <w:tab w:val="left" w:pos="2127"/>
        </w:tabs>
        <w:spacing w:after="0" w:line="240" w:lineRule="auto"/>
        <w:jc w:val="both"/>
        <w:rPr>
          <w:rFonts w:ascii="Arial Narrow" w:eastAsiaTheme="minorHAnsi" w:hAnsi="Arial Narrow" w:cs="Times New Roman"/>
          <w:b/>
          <w:sz w:val="22"/>
          <w:szCs w:val="22"/>
          <w:lang w:val="es-BO" w:eastAsia="en-US"/>
        </w:rPr>
      </w:pPr>
      <w:r w:rsidRPr="00EB504B">
        <w:rPr>
          <w:rFonts w:ascii="Arial Narrow" w:eastAsiaTheme="minorHAnsi" w:hAnsi="Arial Narrow" w:cs="Times New Roman"/>
          <w:b/>
          <w:sz w:val="22"/>
          <w:szCs w:val="22"/>
          <w:lang w:val="es-BO" w:eastAsia="en-US"/>
        </w:rPr>
        <w:t>Objetivo</w:t>
      </w:r>
    </w:p>
    <w:p w:rsidR="00EB504B" w:rsidRPr="00EB504B" w:rsidRDefault="00EB504B" w:rsidP="00EB504B">
      <w:pPr>
        <w:tabs>
          <w:tab w:val="left" w:pos="2127"/>
        </w:tabs>
        <w:spacing w:after="0" w:line="240" w:lineRule="auto"/>
        <w:jc w:val="both"/>
        <w:rPr>
          <w:rFonts w:ascii="Arial Narrow" w:eastAsiaTheme="minorHAnsi" w:hAnsi="Arial Narrow" w:cs="Times New Roman"/>
          <w:b/>
          <w:sz w:val="22"/>
          <w:szCs w:val="22"/>
          <w:lang w:val="es-BO" w:eastAsia="en-US"/>
        </w:rPr>
      </w:pPr>
    </w:p>
    <w:p w:rsidR="00EB504B" w:rsidRPr="00EB504B" w:rsidRDefault="00EB504B" w:rsidP="00EB504B">
      <w:pPr>
        <w:spacing w:after="0" w:line="240" w:lineRule="auto"/>
        <w:jc w:val="both"/>
        <w:rPr>
          <w:rFonts w:ascii="Arial Narrow" w:eastAsiaTheme="minorHAnsi" w:hAnsi="Arial Narrow" w:cs="Times New Roman"/>
          <w:sz w:val="22"/>
          <w:szCs w:val="22"/>
          <w:lang w:val="es-BO" w:eastAsia="en-US"/>
        </w:rPr>
      </w:pPr>
      <w:r w:rsidRPr="00EB504B">
        <w:rPr>
          <w:rFonts w:ascii="Arial Narrow" w:eastAsiaTheme="minorHAnsi" w:hAnsi="Arial Narrow"/>
          <w:sz w:val="22"/>
          <w:szCs w:val="22"/>
          <w:lang w:val="es-BO" w:eastAsia="en-US"/>
        </w:rPr>
        <w:t xml:space="preserve">El objetivo del seguimiento es verificar el cumplimiento de las recomendaciones emitidas en el Informe de Auditoria INF. D.A.I. N° 04/2021 emergente de la “AUDITORÍA OPERACIONAL SOBRE EL CUMPLIMIENTO DEL PROGRAMA OPERATIVO ANUAL (POA) DE LA GESTIÓN 2020 CON RECURSOS PROVENIENTES DEL IMPUESTO DIRECTO A LOS HIDROCARBUROS Y SUS DERIVADOS – IDH”, las cuales fueron aceptadas en </w:t>
      </w:r>
      <w:proofErr w:type="spellStart"/>
      <w:r w:rsidRPr="00EB504B">
        <w:rPr>
          <w:rFonts w:ascii="Arial Narrow" w:eastAsiaTheme="minorHAnsi" w:hAnsi="Arial Narrow"/>
          <w:sz w:val="22"/>
          <w:szCs w:val="22"/>
          <w:lang w:val="es-BO" w:eastAsia="en-US"/>
        </w:rPr>
        <w:t>en</w:t>
      </w:r>
      <w:proofErr w:type="spellEnd"/>
      <w:r w:rsidRPr="00EB504B">
        <w:rPr>
          <w:rFonts w:ascii="Arial Narrow" w:eastAsiaTheme="minorHAnsi" w:hAnsi="Arial Narrow"/>
          <w:sz w:val="22"/>
          <w:szCs w:val="22"/>
          <w:lang w:val="es-BO" w:eastAsia="en-US"/>
        </w:rPr>
        <w:t xml:space="preserve"> el Formato 1 de Aceptación de las Recomendaciones.</w:t>
      </w:r>
      <w:r w:rsidRPr="00EB504B">
        <w:rPr>
          <w:rFonts w:ascii="Arial Narrow" w:eastAsiaTheme="minorHAnsi" w:hAnsi="Arial Narrow" w:cs="Times New Roman"/>
          <w:sz w:val="22"/>
          <w:szCs w:val="22"/>
          <w:lang w:val="es-BO" w:eastAsia="en-US"/>
        </w:rPr>
        <w:t xml:space="preserve"> </w:t>
      </w:r>
    </w:p>
    <w:p w:rsidR="00EB504B" w:rsidRPr="00EB504B" w:rsidRDefault="00EB504B" w:rsidP="00EB504B">
      <w:pPr>
        <w:tabs>
          <w:tab w:val="left" w:pos="2127"/>
        </w:tabs>
        <w:spacing w:after="0" w:line="240" w:lineRule="auto"/>
        <w:jc w:val="both"/>
        <w:rPr>
          <w:rFonts w:ascii="Arial Narrow" w:eastAsiaTheme="minorHAnsi" w:hAnsi="Arial Narrow" w:cs="Times New Roman"/>
          <w:b/>
          <w:sz w:val="22"/>
          <w:szCs w:val="22"/>
          <w:lang w:val="es-BO" w:eastAsia="en-US"/>
        </w:rPr>
      </w:pPr>
      <w:r w:rsidRPr="00EB504B">
        <w:rPr>
          <w:rFonts w:ascii="Arial Narrow" w:eastAsiaTheme="minorHAnsi" w:hAnsi="Arial Narrow" w:cs="Times New Roman"/>
          <w:b/>
          <w:sz w:val="22"/>
          <w:szCs w:val="22"/>
          <w:lang w:val="es-BO" w:eastAsia="en-US"/>
        </w:rPr>
        <w:t xml:space="preserve">Objeto </w:t>
      </w:r>
    </w:p>
    <w:p w:rsidR="00EB504B" w:rsidRPr="00EB504B" w:rsidRDefault="00EB504B" w:rsidP="00EB504B">
      <w:pPr>
        <w:tabs>
          <w:tab w:val="left" w:pos="2127"/>
        </w:tabs>
        <w:spacing w:after="0" w:line="240" w:lineRule="auto"/>
        <w:jc w:val="both"/>
        <w:rPr>
          <w:rFonts w:ascii="Arial Narrow" w:eastAsiaTheme="minorHAnsi" w:hAnsi="Arial Narrow" w:cs="Times New Roman"/>
          <w:b/>
          <w:sz w:val="22"/>
          <w:szCs w:val="22"/>
          <w:lang w:val="es-BO" w:eastAsia="en-US"/>
        </w:rPr>
      </w:pPr>
    </w:p>
    <w:p w:rsidR="00EB504B" w:rsidRPr="00EB504B" w:rsidRDefault="00EB504B" w:rsidP="00EB504B">
      <w:pPr>
        <w:spacing w:after="0" w:line="240" w:lineRule="auto"/>
        <w:jc w:val="both"/>
        <w:rPr>
          <w:rFonts w:ascii="Arial Narrow" w:eastAsiaTheme="minorHAnsi" w:hAnsi="Arial Narrow" w:cs="Times New Roman"/>
          <w:sz w:val="22"/>
          <w:szCs w:val="22"/>
          <w:lang w:val="es-BO" w:eastAsia="en-US"/>
        </w:rPr>
      </w:pPr>
      <w:r w:rsidRPr="00EB504B">
        <w:rPr>
          <w:rFonts w:ascii="Arial Narrow" w:eastAsiaTheme="minorHAnsi" w:hAnsi="Arial Narrow" w:cs="Times New Roman"/>
          <w:sz w:val="22"/>
          <w:szCs w:val="22"/>
          <w:lang w:val="es-BO" w:eastAsia="en-US"/>
        </w:rPr>
        <w:t>El objeto del seguimiento constituye,  la evaluación de la documentación proporcionada por la Coordinadora entre el Gobierno Autónomo Municipal de Sucre y la Contraloría General del Estado y la información remitida de forma directa por las áreas auditadas</w:t>
      </w:r>
    </w:p>
    <w:p w:rsidR="00EB504B" w:rsidRPr="00EB504B" w:rsidRDefault="00EB504B" w:rsidP="00EB504B">
      <w:pPr>
        <w:spacing w:after="0" w:line="240" w:lineRule="auto"/>
        <w:ind w:left="720"/>
        <w:jc w:val="both"/>
        <w:rPr>
          <w:rFonts w:ascii="Arial Narrow" w:eastAsiaTheme="minorHAnsi" w:hAnsi="Arial Narrow" w:cs="Times New Roman"/>
          <w:sz w:val="22"/>
          <w:szCs w:val="22"/>
          <w:lang w:val="es-BO" w:eastAsia="en-US"/>
        </w:rPr>
      </w:pPr>
    </w:p>
    <w:p w:rsidR="00EB504B" w:rsidRPr="00EB504B" w:rsidRDefault="00EB504B" w:rsidP="00EB504B">
      <w:pPr>
        <w:tabs>
          <w:tab w:val="left" w:pos="-2410"/>
          <w:tab w:val="left" w:pos="-1701"/>
        </w:tabs>
        <w:spacing w:after="0" w:line="240" w:lineRule="auto"/>
        <w:rPr>
          <w:rFonts w:ascii="Arial Narrow" w:eastAsiaTheme="minorHAnsi" w:hAnsi="Arial Narrow" w:cs="Times New Roman"/>
          <w:b/>
          <w:sz w:val="22"/>
          <w:szCs w:val="22"/>
          <w:lang w:val="es-BO" w:eastAsia="en-US"/>
        </w:rPr>
      </w:pPr>
      <w:r w:rsidRPr="00EB504B">
        <w:rPr>
          <w:rFonts w:ascii="Arial Narrow" w:eastAsiaTheme="minorHAnsi" w:hAnsi="Arial Narrow" w:cs="Times New Roman"/>
          <w:b/>
          <w:sz w:val="22"/>
          <w:szCs w:val="22"/>
          <w:lang w:val="es-BO" w:eastAsia="en-US"/>
        </w:rPr>
        <w:t>Conclusión</w:t>
      </w:r>
    </w:p>
    <w:p w:rsidR="00EB504B" w:rsidRPr="00EB504B" w:rsidRDefault="00EB504B" w:rsidP="00EB504B">
      <w:pPr>
        <w:tabs>
          <w:tab w:val="left" w:pos="-2410"/>
          <w:tab w:val="left" w:pos="-1701"/>
        </w:tabs>
        <w:spacing w:after="0" w:line="240" w:lineRule="auto"/>
        <w:rPr>
          <w:rFonts w:ascii="Arial Narrow" w:eastAsiaTheme="minorHAnsi" w:hAnsi="Arial Narrow" w:cs="Times New Roman"/>
          <w:b/>
          <w:sz w:val="22"/>
          <w:szCs w:val="22"/>
          <w:lang w:val="es-BO" w:eastAsia="en-US"/>
        </w:rPr>
      </w:pPr>
    </w:p>
    <w:p w:rsidR="00EB504B" w:rsidRPr="00EB504B" w:rsidRDefault="00EB504B" w:rsidP="00EB504B">
      <w:pPr>
        <w:spacing w:after="0" w:line="240" w:lineRule="auto"/>
        <w:jc w:val="both"/>
        <w:rPr>
          <w:rFonts w:ascii="Arial Narrow" w:eastAsiaTheme="minorHAnsi" w:hAnsi="Arial Narrow" w:cs="Times New Roman"/>
          <w:sz w:val="22"/>
          <w:szCs w:val="22"/>
          <w:lang w:val="es-BO" w:eastAsia="en-US"/>
        </w:rPr>
      </w:pPr>
      <w:r w:rsidRPr="00EB504B">
        <w:rPr>
          <w:rFonts w:ascii="Arial Narrow" w:eastAsiaTheme="minorHAnsi" w:hAnsi="Arial Narrow" w:cs="Times New Roman"/>
          <w:sz w:val="22"/>
          <w:szCs w:val="22"/>
          <w:lang w:val="es-BO" w:eastAsia="en-US"/>
        </w:rPr>
        <w:t>Como resultado del trabajo de seguimiento descrito en el punto 2 se concluye, que de las 4 recomendaciones emitidas en el informe INF. D.A.I. Nº 04/2021 (Control Interno) referente a la “AUDITORÍA OPERACIONAL SOBRE EL CUMPLIMIENTO DEL PROGRAMA OPERATIVO ANUAL (POA) DE LA GESTIÓN 2020 CON RECURSOS PROVENIENTES DEL IMPUESTO DIRECTO A LOS HIDROCARBUROS Y SUS DERIVADOS – IDH”, la recomendación R.1  NO fue CUMPLIDA;  la recomendación R.3 (Unidades Ejecutoras con bajo Rendimiento de Eficacia y Eficiencia) se consideró como NO APLICABLE y las recomendaciones R.2 (Demora en los Plazos en la Publicación del Formulario 500 en el Sistema de Información de Contrataciones Estatales – SICOES de los Proyectos Concluidos) y R.4 (Falta de Actualización del Formulario de Seguimiento a la Ejecución del POA Establecido en el Reglamento Específico del Sistema de Programación de Operaciones (RE-SPO)), fueron CUMPLIDAS.</w:t>
      </w:r>
    </w:p>
    <w:p w:rsidR="00EB504B" w:rsidRPr="00EB504B" w:rsidRDefault="00EB504B" w:rsidP="00EB504B">
      <w:pPr>
        <w:spacing w:after="0" w:line="240" w:lineRule="auto"/>
        <w:jc w:val="both"/>
        <w:rPr>
          <w:rFonts w:ascii="Arial Narrow" w:eastAsiaTheme="minorHAnsi" w:hAnsi="Arial Narrow" w:cs="Times New Roman"/>
          <w:b/>
          <w:sz w:val="22"/>
          <w:szCs w:val="22"/>
          <w:lang w:val="es-BO" w:eastAsia="en-US"/>
        </w:rPr>
      </w:pPr>
    </w:p>
    <w:p w:rsidR="00EB504B" w:rsidRPr="00EB504B" w:rsidRDefault="00EB504B" w:rsidP="00EB504B">
      <w:pPr>
        <w:spacing w:after="0" w:line="240" w:lineRule="auto"/>
        <w:jc w:val="both"/>
        <w:rPr>
          <w:rFonts w:ascii="Arial Narrow" w:eastAsiaTheme="minorHAnsi" w:hAnsi="Arial Narrow" w:cs="Times New Roman"/>
          <w:b/>
          <w:sz w:val="22"/>
          <w:szCs w:val="22"/>
          <w:lang w:val="es-BO" w:eastAsia="en-US"/>
        </w:rPr>
      </w:pPr>
    </w:p>
    <w:p w:rsidR="00EB504B" w:rsidRPr="00EB504B" w:rsidRDefault="00EB504B" w:rsidP="00EB504B">
      <w:pPr>
        <w:spacing w:after="0" w:line="240" w:lineRule="auto"/>
        <w:ind w:left="720"/>
        <w:contextualSpacing/>
        <w:jc w:val="both"/>
        <w:rPr>
          <w:rFonts w:ascii="Arial Narrow" w:eastAsia="Calibri" w:hAnsi="Arial Narrow" w:cs="Times New Roman"/>
          <w:b/>
          <w:sz w:val="22"/>
          <w:szCs w:val="22"/>
          <w:lang w:val="es-ES" w:eastAsia="en-US"/>
        </w:rPr>
      </w:pPr>
    </w:p>
    <w:p w:rsidR="00E749F2" w:rsidRPr="00A300D9" w:rsidRDefault="00EB504B" w:rsidP="00EB504B">
      <w:pPr>
        <w:jc w:val="center"/>
        <w:rPr>
          <w:rFonts w:ascii="Arial Narrow" w:hAnsi="Arial Narrow"/>
        </w:rPr>
      </w:pPr>
      <w:r w:rsidRPr="00EB504B">
        <w:rPr>
          <w:rFonts w:ascii="Arial Narrow" w:eastAsiaTheme="minorHAnsi" w:hAnsi="Arial Narrow" w:cs="Times New Roman"/>
          <w:sz w:val="22"/>
          <w:szCs w:val="22"/>
          <w:lang w:val="es-BO" w:eastAsia="en-US"/>
        </w:rPr>
        <w:t>Sucre, abril de 2022.</w:t>
      </w:r>
      <w:bookmarkStart w:id="0" w:name="_GoBack"/>
      <w:bookmarkEnd w:id="0"/>
    </w:p>
    <w:p w:rsidR="00035035" w:rsidRPr="00E749F2" w:rsidRDefault="00035035" w:rsidP="00E749F2"/>
    <w:sectPr w:rsidR="00035035" w:rsidRPr="00E749F2" w:rsidSect="00E749F2">
      <w:pgSz w:w="11907" w:h="1871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A7BE2"/>
    <w:multiLevelType w:val="hybridMultilevel"/>
    <w:tmpl w:val="C0760C50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25785"/>
    <w:multiLevelType w:val="hybridMultilevel"/>
    <w:tmpl w:val="8B3E673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D0B51"/>
    <w:multiLevelType w:val="hybridMultilevel"/>
    <w:tmpl w:val="25A44F26"/>
    <w:lvl w:ilvl="0" w:tplc="565C839A">
      <w:start w:val="1"/>
      <w:numFmt w:val="bullet"/>
      <w:lvlText w:val="-"/>
      <w:lvlJc w:val="left"/>
      <w:pPr>
        <w:ind w:left="785" w:hanging="360"/>
      </w:pPr>
      <w:rPr>
        <w:rFonts w:ascii="Arial Narrow" w:eastAsiaTheme="minorHAnsi" w:hAnsi="Arial Narrow" w:cstheme="minorBidi" w:hint="default"/>
      </w:rPr>
    </w:lvl>
    <w:lvl w:ilvl="1" w:tplc="40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43"/>
    <w:rsid w:val="00035035"/>
    <w:rsid w:val="000B315C"/>
    <w:rsid w:val="00522E43"/>
    <w:rsid w:val="008C70F7"/>
    <w:rsid w:val="009965E6"/>
    <w:rsid w:val="00D0503A"/>
    <w:rsid w:val="00E749F2"/>
    <w:rsid w:val="00EB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0F7"/>
    <w:pPr>
      <w:spacing w:line="288" w:lineRule="auto"/>
    </w:pPr>
    <w:rPr>
      <w:rFonts w:eastAsiaTheme="minorEastAsia"/>
      <w:sz w:val="21"/>
      <w:szCs w:val="21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,List Paragraph 1,List-Bulleted,Fase,CUADRO,MAPA,GRÁFICOS,GRAFICO,Viñetas"/>
    <w:basedOn w:val="Normal"/>
    <w:link w:val="PrrafodelistaCar"/>
    <w:uiPriority w:val="34"/>
    <w:qFormat/>
    <w:rsid w:val="00522E43"/>
    <w:pPr>
      <w:ind w:left="720"/>
      <w:contextualSpacing/>
    </w:pPr>
  </w:style>
  <w:style w:type="character" w:customStyle="1" w:styleId="PrrafodelistaCar">
    <w:name w:val="Párrafo de lista Car"/>
    <w:aliases w:val="Titulo Car,List Paragraph 1 Car,List-Bulleted Car,Fase Car,CUADRO Car,MAPA Car,GRÁFICOS Car,GRAFICO Car,Viñetas Car"/>
    <w:link w:val="Prrafodelista"/>
    <w:uiPriority w:val="34"/>
    <w:locked/>
    <w:rsid w:val="00522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0F7"/>
    <w:pPr>
      <w:spacing w:line="288" w:lineRule="auto"/>
    </w:pPr>
    <w:rPr>
      <w:rFonts w:eastAsiaTheme="minorEastAsia"/>
      <w:sz w:val="21"/>
      <w:szCs w:val="21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,List Paragraph 1,List-Bulleted,Fase,CUADRO,MAPA,GRÁFICOS,GRAFICO,Viñetas"/>
    <w:basedOn w:val="Normal"/>
    <w:link w:val="PrrafodelistaCar"/>
    <w:uiPriority w:val="34"/>
    <w:qFormat/>
    <w:rsid w:val="00522E43"/>
    <w:pPr>
      <w:ind w:left="720"/>
      <w:contextualSpacing/>
    </w:pPr>
  </w:style>
  <w:style w:type="character" w:customStyle="1" w:styleId="PrrafodelistaCar">
    <w:name w:val="Párrafo de lista Car"/>
    <w:aliases w:val="Titulo Car,List Paragraph 1 Car,List-Bulleted Car,Fase Car,CUADRO Car,MAPA Car,GRÁFICOS Car,GRAFICO Car,Viñetas Car"/>
    <w:link w:val="Prrafodelista"/>
    <w:uiPriority w:val="34"/>
    <w:locked/>
    <w:rsid w:val="00522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2022-06-15T13:25:00Z</dcterms:created>
  <dcterms:modified xsi:type="dcterms:W3CDTF">2022-06-15T13:25:00Z</dcterms:modified>
</cp:coreProperties>
</file>