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D" w:rsidRPr="003C12D7" w:rsidRDefault="008C707D" w:rsidP="008C707D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/>
          <w:b/>
          <w:color w:val="000000"/>
          <w:szCs w:val="24"/>
        </w:rPr>
      </w:pPr>
      <w:r w:rsidRPr="003C12D7">
        <w:rPr>
          <w:rFonts w:ascii="Arial Narrow" w:eastAsia="Calibri" w:hAnsi="Arial Narrow"/>
          <w:b/>
          <w:color w:val="000000"/>
          <w:szCs w:val="24"/>
        </w:rPr>
        <w:t>DIRECCION DE AUDITORIA INTERNA</w:t>
      </w:r>
    </w:p>
    <w:p w:rsidR="008C707D" w:rsidRPr="003C12D7" w:rsidRDefault="008C707D" w:rsidP="008C707D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/>
          <w:b/>
          <w:color w:val="000000"/>
          <w:szCs w:val="24"/>
        </w:rPr>
      </w:pPr>
    </w:p>
    <w:p w:rsidR="008C707D" w:rsidRPr="003C12D7" w:rsidRDefault="008C707D" w:rsidP="008C707D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/>
          <w:b/>
          <w:bCs/>
          <w:color w:val="000000"/>
        </w:rPr>
      </w:pPr>
      <w:r w:rsidRPr="003C12D7">
        <w:rPr>
          <w:rFonts w:ascii="Arial Narrow" w:eastAsia="Calibri" w:hAnsi="Arial Narrow"/>
          <w:b/>
          <w:bCs/>
          <w:color w:val="000000"/>
        </w:rPr>
        <w:t>RESUMEN EJECUTIVO</w:t>
      </w:r>
    </w:p>
    <w:p w:rsidR="008C707D" w:rsidRPr="003C12D7" w:rsidRDefault="008C707D" w:rsidP="008C707D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/>
          <w:b/>
          <w:bCs/>
          <w:color w:val="000000"/>
        </w:rPr>
      </w:pPr>
    </w:p>
    <w:p w:rsidR="008C707D" w:rsidRPr="003C12D7" w:rsidRDefault="008C707D" w:rsidP="008C7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/>
          <w:b/>
          <w:color w:val="000000"/>
        </w:rPr>
      </w:pPr>
      <w:r w:rsidRPr="003C12D7">
        <w:rPr>
          <w:rFonts w:ascii="Arial Narrow" w:eastAsia="Calibri" w:hAnsi="Arial Narrow"/>
          <w:b/>
          <w:color w:val="000000"/>
        </w:rPr>
        <w:t>ANTECEDENTES</w:t>
      </w:r>
    </w:p>
    <w:p w:rsidR="008C707D" w:rsidRPr="003C12D7" w:rsidRDefault="008C707D" w:rsidP="008C707D">
      <w:pPr>
        <w:autoSpaceDE w:val="0"/>
        <w:autoSpaceDN w:val="0"/>
        <w:adjustRightInd w:val="0"/>
        <w:ind w:left="284"/>
        <w:contextualSpacing/>
        <w:jc w:val="both"/>
        <w:rPr>
          <w:rFonts w:ascii="Arial Narrow" w:eastAsia="Calibri" w:hAnsi="Arial Narrow"/>
          <w:b/>
          <w:color w:val="000000"/>
        </w:rPr>
      </w:pPr>
    </w:p>
    <w:p w:rsidR="008C707D" w:rsidRPr="003C12D7" w:rsidRDefault="008C707D" w:rsidP="008C707D">
      <w:pPr>
        <w:spacing w:after="0" w:line="240" w:lineRule="auto"/>
        <w:jc w:val="both"/>
        <w:rPr>
          <w:rFonts w:ascii="Arial Narrow" w:hAnsi="Arial Narrow"/>
          <w:i/>
        </w:rPr>
      </w:pPr>
      <w:r w:rsidRPr="003C12D7">
        <w:rPr>
          <w:rFonts w:ascii="Arial Narrow" w:eastAsia="Calibri" w:hAnsi="Arial Narrow" w:cs="Courier New"/>
        </w:rPr>
        <w:t xml:space="preserve">En cumplimiento a la   Comunicación Interna AUD. INT. N° 66/21,  de fecha 21 de mayo 2021,  de  la Dirección de Auditoria Interna, instruye  ejecutar el Segundo Seguimiento al cumplimiento de las recomendaciones expuestas en el INF. D.A.I. N° 11/2019 </w:t>
      </w:r>
      <w:r w:rsidRPr="003C12D7">
        <w:rPr>
          <w:rFonts w:ascii="Arial Narrow" w:eastAsia="Calibri" w:hAnsi="Arial Narrow" w:cs="Courier New"/>
          <w:b/>
        </w:rPr>
        <w:t>“Auditoria sobre la Confiabilidad de los Registros Contables y Estados Financieros del Gobierno Autónomo Municipal de Sucre correspondiente a la Gestión 2018</w:t>
      </w:r>
      <w:r w:rsidRPr="003C12D7">
        <w:rPr>
          <w:rFonts w:ascii="Arial Narrow" w:eastAsia="Calibri" w:hAnsi="Arial Narrow" w:cs="Courier New"/>
        </w:rPr>
        <w:t xml:space="preserve">”, </w:t>
      </w:r>
      <w:r w:rsidRPr="003C12D7">
        <w:rPr>
          <w:rFonts w:ascii="Arial Narrow" w:hAnsi="Arial Narrow"/>
        </w:rPr>
        <w:t xml:space="preserve">en aplicación de la Resolución N° CGR-1/010/97 emitido por la Contraloría General del Estado;  Artículo Primero que indica: </w:t>
      </w:r>
      <w:r w:rsidRPr="003C12D7">
        <w:rPr>
          <w:rFonts w:ascii="Arial Narrow" w:hAnsi="Arial Narrow"/>
          <w:i/>
        </w:rPr>
        <w:t>”Las Unidades de Auditoria Interna de cada Entidad Publica deben efectuar exámenes específicos de seguimiento al cumplimiento de las recomendaciones, emergentes de sus propios informes y de las auditorias que se practiquen en dichas entidades…”.</w:t>
      </w:r>
    </w:p>
    <w:p w:rsidR="008C707D" w:rsidRPr="003C12D7" w:rsidRDefault="008C707D" w:rsidP="008C707D">
      <w:pPr>
        <w:spacing w:after="0" w:line="240" w:lineRule="auto"/>
        <w:jc w:val="both"/>
        <w:rPr>
          <w:rFonts w:ascii="Arial Narrow" w:eastAsia="Calibri" w:hAnsi="Arial Narrow" w:cs="Courier New"/>
        </w:rPr>
      </w:pPr>
    </w:p>
    <w:p w:rsidR="008C707D" w:rsidRPr="003C12D7" w:rsidRDefault="008C707D" w:rsidP="008C707D">
      <w:pPr>
        <w:spacing w:after="0" w:line="240" w:lineRule="auto"/>
        <w:jc w:val="both"/>
        <w:rPr>
          <w:rFonts w:ascii="Arial Narrow" w:eastAsia="Calibri" w:hAnsi="Arial Narrow" w:cs="Courier New"/>
        </w:rPr>
      </w:pPr>
      <w:r w:rsidRPr="003C12D7">
        <w:rPr>
          <w:rFonts w:ascii="Arial Narrow" w:hAnsi="Arial Narrow" w:cs="Courier New"/>
          <w:lang w:eastAsia="es-BO"/>
        </w:rPr>
        <w:t>Los Formatos 1 y 2 sobre la Aceptación y Cronograma de Implantación fueron remitidos a la Dirección de Auditoría Interna, el 19</w:t>
      </w:r>
      <w:r w:rsidRPr="003C12D7">
        <w:rPr>
          <w:rFonts w:ascii="Arial Narrow" w:eastAsia="Calibri" w:hAnsi="Arial Narrow" w:cs="Courier New"/>
        </w:rPr>
        <w:t xml:space="preserve"> de junio de 2019  mediante nota C.GAMS-CGE/SMAF CITE N° 063/19,  por la Secretaria Municipal Administrativa Financiera.</w:t>
      </w:r>
    </w:p>
    <w:p w:rsidR="008C707D" w:rsidRPr="003C12D7" w:rsidRDefault="008C707D" w:rsidP="008C707D">
      <w:pPr>
        <w:spacing w:after="0" w:line="240" w:lineRule="auto"/>
        <w:jc w:val="both"/>
        <w:rPr>
          <w:rFonts w:ascii="Arial Narrow" w:eastAsia="Calibri" w:hAnsi="Arial Narrow" w:cs="Courier New"/>
        </w:rPr>
      </w:pPr>
    </w:p>
    <w:p w:rsidR="008C707D" w:rsidRPr="003C12D7" w:rsidRDefault="008C707D" w:rsidP="008C707D">
      <w:pPr>
        <w:pStyle w:val="Prrafodelista"/>
        <w:numPr>
          <w:ilvl w:val="1"/>
          <w:numId w:val="4"/>
        </w:numPr>
        <w:spacing w:after="0" w:line="240" w:lineRule="auto"/>
        <w:jc w:val="both"/>
        <w:outlineLvl w:val="0"/>
        <w:rPr>
          <w:rFonts w:ascii="Arial Narrow" w:eastAsia="Calibri" w:hAnsi="Arial Narrow" w:cs="Courier New"/>
          <w:b/>
        </w:rPr>
      </w:pPr>
      <w:r w:rsidRPr="003C12D7">
        <w:rPr>
          <w:rFonts w:ascii="Arial Narrow" w:eastAsia="Calibri" w:hAnsi="Arial Narrow" w:cs="Courier New"/>
          <w:b/>
        </w:rPr>
        <w:t>Objetivo</w:t>
      </w:r>
    </w:p>
    <w:p w:rsidR="008C707D" w:rsidRPr="003C12D7" w:rsidRDefault="008C707D" w:rsidP="008C707D">
      <w:pPr>
        <w:spacing w:after="0" w:line="240" w:lineRule="auto"/>
        <w:ind w:left="1134"/>
        <w:jc w:val="both"/>
        <w:rPr>
          <w:rFonts w:ascii="Arial Narrow" w:eastAsia="Calibri" w:hAnsi="Arial Narrow" w:cs="Courier New"/>
          <w:b/>
        </w:rPr>
      </w:pPr>
    </w:p>
    <w:p w:rsidR="008C707D" w:rsidRPr="003C12D7" w:rsidRDefault="008C707D" w:rsidP="008C707D">
      <w:pPr>
        <w:spacing w:after="0" w:line="240" w:lineRule="auto"/>
        <w:jc w:val="both"/>
        <w:rPr>
          <w:rFonts w:ascii="Arial Narrow" w:hAnsi="Arial Narrow" w:cs="Courier New"/>
        </w:rPr>
      </w:pPr>
      <w:r w:rsidRPr="003C12D7">
        <w:rPr>
          <w:rFonts w:ascii="Arial Narrow" w:hAnsi="Arial Narrow" w:cs="Courier New"/>
        </w:rPr>
        <w:t>El objetivo del segundo seguimiento es determinar el cumplimiento de las recomendaciones contenidas en el informe INF.D.A.I. N° 11/2019 “Auditoria sobre la Confiabilidad de los Registros y Estados Financieros del Gobierno Autónomo Municipal de Sucre correspondiente a la gestión 2018”, las cuales fueron aceptadas  en su totalidad de acuerdo al Formato N° 1 (Aceptación de recomendaciones).</w:t>
      </w:r>
    </w:p>
    <w:p w:rsidR="008C707D" w:rsidRPr="003C12D7" w:rsidRDefault="008C707D" w:rsidP="008C707D">
      <w:pPr>
        <w:spacing w:after="0" w:line="240" w:lineRule="auto"/>
        <w:ind w:left="708"/>
        <w:jc w:val="both"/>
        <w:rPr>
          <w:rFonts w:ascii="Arial Narrow" w:eastAsia="Calibri" w:hAnsi="Arial Narrow" w:cs="Courier New"/>
          <w:b/>
        </w:rPr>
      </w:pPr>
    </w:p>
    <w:p w:rsidR="008C707D" w:rsidRPr="003C12D7" w:rsidRDefault="008C707D" w:rsidP="008C707D">
      <w:pPr>
        <w:pStyle w:val="Prrafodelista"/>
        <w:numPr>
          <w:ilvl w:val="1"/>
          <w:numId w:val="4"/>
        </w:numPr>
        <w:spacing w:after="0" w:line="240" w:lineRule="auto"/>
        <w:jc w:val="both"/>
        <w:outlineLvl w:val="0"/>
        <w:rPr>
          <w:rFonts w:ascii="Arial Narrow" w:eastAsia="Calibri" w:hAnsi="Arial Narrow" w:cs="Courier New"/>
          <w:b/>
        </w:rPr>
      </w:pPr>
      <w:r w:rsidRPr="003C12D7">
        <w:rPr>
          <w:rFonts w:ascii="Arial Narrow" w:eastAsia="Calibri" w:hAnsi="Arial Narrow" w:cs="Courier New"/>
          <w:b/>
        </w:rPr>
        <w:t xml:space="preserve">Objeto </w:t>
      </w:r>
    </w:p>
    <w:p w:rsidR="008C707D" w:rsidRPr="003C12D7" w:rsidRDefault="008C707D" w:rsidP="008C707D">
      <w:pPr>
        <w:spacing w:after="0" w:line="240" w:lineRule="auto"/>
        <w:ind w:left="708"/>
        <w:jc w:val="both"/>
        <w:rPr>
          <w:rFonts w:ascii="Arial Narrow" w:eastAsia="Calibri" w:hAnsi="Arial Narrow" w:cs="Courier New"/>
          <w:b/>
        </w:rPr>
      </w:pPr>
    </w:p>
    <w:p w:rsidR="008C707D" w:rsidRPr="003C12D7" w:rsidRDefault="008C707D" w:rsidP="008C707D">
      <w:pPr>
        <w:spacing w:after="0" w:line="240" w:lineRule="auto"/>
        <w:jc w:val="both"/>
        <w:rPr>
          <w:rFonts w:ascii="Arial Narrow" w:hAnsi="Arial Narrow" w:cs="Courier New"/>
          <w:lang w:eastAsia="es-BO"/>
        </w:rPr>
      </w:pPr>
      <w:r w:rsidRPr="003C12D7">
        <w:rPr>
          <w:rFonts w:ascii="Arial Narrow" w:hAnsi="Arial Narrow" w:cs="Courier New"/>
          <w:lang w:eastAsia="es-BO"/>
        </w:rPr>
        <w:t>El objeto del seguimiento está constituido por la siguiente documentación e información:</w:t>
      </w:r>
    </w:p>
    <w:p w:rsidR="008C707D" w:rsidRPr="003C12D7" w:rsidRDefault="008C707D" w:rsidP="008C707D">
      <w:pPr>
        <w:spacing w:after="0" w:line="240" w:lineRule="auto"/>
        <w:jc w:val="both"/>
        <w:rPr>
          <w:rFonts w:ascii="Arial Narrow" w:hAnsi="Arial Narrow" w:cs="Courier New"/>
          <w:lang w:eastAsia="es-BO"/>
        </w:rPr>
      </w:pPr>
    </w:p>
    <w:p w:rsidR="008C707D" w:rsidRPr="003C12D7" w:rsidRDefault="008C707D" w:rsidP="008C707D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="Courier New"/>
          <w:lang w:eastAsia="es-BO"/>
        </w:rPr>
      </w:pPr>
      <w:r w:rsidRPr="003C12D7">
        <w:rPr>
          <w:rFonts w:ascii="Arial Narrow" w:hAnsi="Arial Narrow" w:cs="Courier New"/>
          <w:lang w:eastAsia="es-BO"/>
        </w:rPr>
        <w:t>Informe de Auditoría INF. D.A.I. N° 011/2019, de control interno emergente de la Auditoria de Confiabilidad de Registros y Estados Financieros gestión 2018.</w:t>
      </w:r>
    </w:p>
    <w:p w:rsidR="008C707D" w:rsidRPr="003C12D7" w:rsidRDefault="008C707D" w:rsidP="008C707D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="Courier New"/>
          <w:lang w:eastAsia="es-BO"/>
        </w:rPr>
      </w:pPr>
      <w:r w:rsidRPr="003C12D7">
        <w:rPr>
          <w:rFonts w:ascii="Arial Narrow" w:hAnsi="Arial Narrow" w:cs="Courier New"/>
          <w:lang w:eastAsia="es-BO"/>
        </w:rPr>
        <w:t xml:space="preserve">Los Formatos 1 y 2 sobre la aceptación y el cronograma para su respectiva implantación. </w:t>
      </w:r>
    </w:p>
    <w:p w:rsidR="008C707D" w:rsidRPr="003C12D7" w:rsidRDefault="008C707D" w:rsidP="008C707D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="Courier New"/>
          <w:lang w:eastAsia="es-BO"/>
        </w:rPr>
      </w:pPr>
      <w:r w:rsidRPr="003C12D7">
        <w:rPr>
          <w:rFonts w:ascii="Arial Narrow" w:hAnsi="Arial Narrow" w:cs="Courier New"/>
          <w:lang w:eastAsia="es-BO"/>
        </w:rPr>
        <w:t>Instructivos para el cumplimiento de las recomendaciones</w:t>
      </w:r>
    </w:p>
    <w:p w:rsidR="008C707D" w:rsidRPr="003C12D7" w:rsidRDefault="008C707D" w:rsidP="008C707D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="Courier New"/>
          <w:lang w:eastAsia="es-BO"/>
        </w:rPr>
      </w:pPr>
      <w:r w:rsidRPr="003C12D7">
        <w:rPr>
          <w:rFonts w:ascii="Arial Narrow" w:hAnsi="Arial Narrow" w:cs="Courier New"/>
          <w:lang w:eastAsia="es-BO"/>
        </w:rPr>
        <w:t>Informes generadas por las áreas auditadas.</w:t>
      </w:r>
    </w:p>
    <w:p w:rsidR="008C707D" w:rsidRPr="003C12D7" w:rsidRDefault="008C707D" w:rsidP="008C707D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="Courier New"/>
          <w:lang w:val="es-ES"/>
        </w:rPr>
      </w:pPr>
      <w:r w:rsidRPr="003C12D7">
        <w:rPr>
          <w:rFonts w:ascii="Arial Narrow" w:hAnsi="Arial Narrow" w:cs="Courier New"/>
          <w:lang w:eastAsia="es-BO"/>
        </w:rPr>
        <w:t>Otra documentación e información relacionada con las recomendaciones sujetas a seguimiento.</w:t>
      </w:r>
    </w:p>
    <w:p w:rsidR="008C707D" w:rsidRPr="003C12D7" w:rsidRDefault="008C707D" w:rsidP="008C707D">
      <w:pPr>
        <w:pStyle w:val="Prrafodelista"/>
        <w:spacing w:after="0" w:line="240" w:lineRule="auto"/>
        <w:ind w:left="426"/>
        <w:jc w:val="both"/>
        <w:rPr>
          <w:rFonts w:ascii="Arial Narrow" w:hAnsi="Arial Narrow" w:cs="Courier New"/>
          <w:lang w:val="es-ES"/>
        </w:rPr>
      </w:pPr>
    </w:p>
    <w:p w:rsidR="008C707D" w:rsidRPr="003C12D7" w:rsidRDefault="008C707D" w:rsidP="008C707D">
      <w:pPr>
        <w:pStyle w:val="Prrafodelista"/>
        <w:spacing w:after="0" w:line="240" w:lineRule="auto"/>
        <w:ind w:left="426"/>
        <w:jc w:val="both"/>
        <w:rPr>
          <w:rFonts w:ascii="Arial Narrow" w:hAnsi="Arial Narrow" w:cs="Courier New"/>
          <w:b/>
          <w:lang w:eastAsia="es-BO"/>
        </w:rPr>
      </w:pPr>
      <w:r w:rsidRPr="003C12D7">
        <w:rPr>
          <w:rFonts w:ascii="Arial Narrow" w:hAnsi="Arial Narrow" w:cs="Courier New"/>
          <w:b/>
          <w:lang w:eastAsia="es-BO"/>
        </w:rPr>
        <w:t>RESULTADO DEL SEGUIMIENTO</w:t>
      </w:r>
    </w:p>
    <w:p w:rsidR="008C707D" w:rsidRPr="003C12D7" w:rsidRDefault="008C707D" w:rsidP="008C707D">
      <w:pPr>
        <w:pStyle w:val="Prrafodelista"/>
        <w:spacing w:after="0" w:line="240" w:lineRule="auto"/>
        <w:ind w:left="426"/>
        <w:jc w:val="both"/>
        <w:rPr>
          <w:rFonts w:ascii="Arial Narrow" w:hAnsi="Arial Narrow" w:cs="Courier New"/>
          <w:b/>
          <w:lang w:val="es-ES"/>
        </w:rPr>
      </w:pPr>
      <w:r w:rsidRPr="003C12D7">
        <w:rPr>
          <w:rFonts w:ascii="Arial Narrow" w:hAnsi="Arial Narrow" w:cs="Courier New"/>
          <w:b/>
          <w:lang w:eastAsia="es-BO"/>
        </w:rPr>
        <w:t xml:space="preserve"> </w:t>
      </w:r>
    </w:p>
    <w:p w:rsidR="008C707D" w:rsidRPr="003C12D7" w:rsidRDefault="008C707D" w:rsidP="008C707D">
      <w:pPr>
        <w:pStyle w:val="Prrafodelista"/>
        <w:spacing w:after="0" w:line="240" w:lineRule="auto"/>
        <w:ind w:left="426"/>
        <w:jc w:val="both"/>
        <w:rPr>
          <w:rFonts w:ascii="Arial Narrow" w:hAnsi="Arial Narrow" w:cs="Courier New"/>
          <w:lang w:val="es-ES"/>
        </w:rPr>
      </w:pPr>
      <w:r w:rsidRPr="003C12D7">
        <w:rPr>
          <w:rFonts w:ascii="Arial Narrow" w:hAnsi="Arial Narrow" w:cs="Courier New"/>
          <w:lang w:val="es-ES"/>
        </w:rPr>
        <w:t>La evaluación se ha realizado de acuerdo a las Normas Generales de Auditoria Gubernamental y el Resultado es el sigue:</w:t>
      </w:r>
    </w:p>
    <w:p w:rsidR="008C707D" w:rsidRPr="003C12D7" w:rsidRDefault="008C707D" w:rsidP="008C707D">
      <w:pPr>
        <w:pStyle w:val="Prrafodelista"/>
        <w:spacing w:after="0" w:line="240" w:lineRule="auto"/>
        <w:ind w:left="426"/>
        <w:jc w:val="both"/>
        <w:rPr>
          <w:rFonts w:ascii="Arial Narrow" w:hAnsi="Arial Narrow" w:cs="Courier New"/>
          <w:lang w:val="es-ES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  <w:u w:val="single"/>
        </w:rPr>
        <w:t>Recomendaciones Cumplidas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  <w:b/>
        </w:rPr>
      </w:pPr>
      <w:r w:rsidRPr="003C12D7">
        <w:rPr>
          <w:rFonts w:ascii="Arial Narrow" w:hAnsi="Arial Narrow"/>
          <w:b/>
        </w:rPr>
        <w:t xml:space="preserve"> R.3.   </w:t>
      </w:r>
      <w:r w:rsidRPr="003C12D7">
        <w:rPr>
          <w:rFonts w:ascii="Arial Narrow" w:hAnsi="Arial Narrow"/>
        </w:rPr>
        <w:t>Falta de Acciones para la Recuperación de Cuentas por Cobrar a Largo Plazo</w:t>
      </w:r>
    </w:p>
    <w:p w:rsidR="008C707D" w:rsidRPr="003C12D7" w:rsidRDefault="008C707D" w:rsidP="008C707D">
      <w:pPr>
        <w:pStyle w:val="Prrafodelista"/>
        <w:spacing w:after="0"/>
        <w:ind w:left="993" w:hanging="633"/>
        <w:jc w:val="both"/>
        <w:rPr>
          <w:rFonts w:ascii="Arial Narrow" w:hAnsi="Arial Narrow"/>
          <w:b/>
        </w:rPr>
      </w:pPr>
      <w:r w:rsidRPr="003C12D7">
        <w:rPr>
          <w:rFonts w:ascii="Arial Narrow" w:hAnsi="Arial Narrow"/>
          <w:b/>
        </w:rPr>
        <w:t xml:space="preserve"> R.7.  </w:t>
      </w:r>
      <w:r w:rsidRPr="003C12D7">
        <w:rPr>
          <w:rFonts w:ascii="Arial Narrow" w:hAnsi="Arial Narrow"/>
        </w:rPr>
        <w:t>Reglamento Interno para el Uso de Vehículos Oficiales del Gobierno Autónomo Municipal de   Sucre   NO Actualizado</w:t>
      </w:r>
      <w:r w:rsidRPr="003C12D7">
        <w:rPr>
          <w:rFonts w:ascii="Arial Narrow" w:hAnsi="Arial Narrow"/>
          <w:b/>
        </w:rPr>
        <w:t>.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  <w:b/>
        </w:rPr>
      </w:pPr>
      <w:r w:rsidRPr="003C12D7">
        <w:rPr>
          <w:rFonts w:ascii="Arial Narrow" w:hAnsi="Arial Narrow"/>
          <w:b/>
        </w:rPr>
        <w:t xml:space="preserve"> R.8.   </w:t>
      </w:r>
      <w:r w:rsidRPr="003C12D7">
        <w:rPr>
          <w:rFonts w:ascii="Arial Narrow" w:hAnsi="Arial Narrow"/>
        </w:rPr>
        <w:t>Vehículos sin Uso y Registro de Responsables.</w:t>
      </w:r>
    </w:p>
    <w:p w:rsidR="008C707D" w:rsidRPr="003C12D7" w:rsidRDefault="008C707D" w:rsidP="008C707D">
      <w:pPr>
        <w:pStyle w:val="Prrafodelista"/>
        <w:spacing w:after="0"/>
        <w:ind w:left="993" w:hanging="633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</w:rPr>
        <w:t xml:space="preserve"> R.10. </w:t>
      </w:r>
      <w:r w:rsidRPr="003C12D7">
        <w:rPr>
          <w:rFonts w:ascii="Arial Narrow" w:hAnsi="Arial Narrow"/>
        </w:rPr>
        <w:t>Insuficiente Control en Ingresos y Salidas de Vehículos de los de Garajes y Parqueos de Propiedad del G.A.M.S.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</w:rPr>
        <w:t xml:space="preserve"> R.22.  </w:t>
      </w:r>
      <w:r w:rsidRPr="003C12D7">
        <w:rPr>
          <w:rFonts w:ascii="Arial Narrow" w:hAnsi="Arial Narrow"/>
        </w:rPr>
        <w:t>Incumplimiento a la Ordenanza Municipal Nº 030/01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</w:rPr>
        <w:t xml:space="preserve"> R.24.</w:t>
      </w:r>
      <w:r w:rsidRPr="003C12D7">
        <w:rPr>
          <w:rFonts w:ascii="Arial Narrow" w:hAnsi="Arial Narrow"/>
        </w:rPr>
        <w:t xml:space="preserve"> Falta de Medidas de Control a Ingresos Percibidos de los Campos Deportivos. 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proofErr w:type="gramStart"/>
      <w:r w:rsidRPr="003C12D7">
        <w:rPr>
          <w:rFonts w:ascii="Arial Narrow" w:hAnsi="Arial Narrow"/>
          <w:b/>
          <w:u w:val="single"/>
        </w:rPr>
        <w:t>Recomendaciones NO Aplicable</w:t>
      </w:r>
      <w:proofErr w:type="gramEnd"/>
      <w:r w:rsidRPr="003C12D7">
        <w:rPr>
          <w:rFonts w:ascii="Arial Narrow" w:hAnsi="Arial Narrow"/>
        </w:rPr>
        <w:t xml:space="preserve"> 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</w:rPr>
        <w:t>2.25</w:t>
      </w:r>
      <w:r w:rsidRPr="003C12D7">
        <w:rPr>
          <w:rFonts w:ascii="Arial Narrow" w:hAnsi="Arial Narrow"/>
        </w:rPr>
        <w:t>.  Deficiente Administración en la Villa Bolivariana.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Style w:val="Hipervnculo"/>
          <w:rFonts w:ascii="Arial Narrow" w:hAnsi="Arial Narrow"/>
          <w:b/>
          <w:noProof/>
          <w:color w:val="000000" w:themeColor="text1"/>
        </w:rPr>
        <w:t>2..14</w:t>
      </w:r>
      <w:r w:rsidRPr="003C12D7">
        <w:rPr>
          <w:rStyle w:val="Hipervnculo"/>
          <w:rFonts w:ascii="Arial Narrow" w:hAnsi="Arial Narrow"/>
          <w:noProof/>
          <w:color w:val="000000" w:themeColor="text1"/>
        </w:rPr>
        <w:t xml:space="preserve">  </w:t>
      </w:r>
      <w:r w:rsidRPr="003C12D7">
        <w:rPr>
          <w:rFonts w:ascii="Arial Narrow" w:eastAsia="Calibri" w:hAnsi="Arial Narrow"/>
          <w:lang w:val="es-ES"/>
        </w:rPr>
        <w:t>Construcciones de Bienes de Dominio Privado sin Documentación Saneada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bookmarkStart w:id="0" w:name="_GoBack"/>
      <w:bookmarkEnd w:id="0"/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  <w:u w:val="single"/>
        </w:rPr>
        <w:lastRenderedPageBreak/>
        <w:t>Recomendaciones</w:t>
      </w:r>
      <w:r w:rsidRPr="003C12D7">
        <w:rPr>
          <w:rFonts w:ascii="Arial Narrow" w:hAnsi="Arial Narrow"/>
        </w:rPr>
        <w:t xml:space="preserve"> </w:t>
      </w:r>
      <w:r w:rsidRPr="003C12D7">
        <w:rPr>
          <w:rFonts w:ascii="Arial Narrow" w:hAnsi="Arial Narrow"/>
          <w:b/>
          <w:u w:val="single"/>
        </w:rPr>
        <w:t>NO Cumplidas</w:t>
      </w:r>
      <w:r w:rsidRPr="003C12D7">
        <w:rPr>
          <w:rFonts w:ascii="Arial Narrow" w:hAnsi="Arial Narrow"/>
        </w:rPr>
        <w:t xml:space="preserve">  </w:t>
      </w: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</w:p>
    <w:p w:rsidR="008C707D" w:rsidRPr="003C12D7" w:rsidRDefault="008C707D" w:rsidP="008C707D">
      <w:pPr>
        <w:pStyle w:val="Prrafodelista"/>
        <w:spacing w:after="0"/>
        <w:ind w:left="426" w:hanging="66"/>
        <w:jc w:val="both"/>
        <w:rPr>
          <w:rFonts w:ascii="Arial Narrow" w:hAnsi="Arial Narrow"/>
        </w:rPr>
      </w:pPr>
      <w:r w:rsidRPr="003C12D7">
        <w:rPr>
          <w:rFonts w:ascii="Arial Narrow" w:hAnsi="Arial Narrow"/>
          <w:b/>
        </w:rPr>
        <w:t>R.9</w:t>
      </w:r>
      <w:r w:rsidRPr="003C12D7">
        <w:rPr>
          <w:rFonts w:ascii="Arial Narrow" w:hAnsi="Arial Narrow"/>
        </w:rPr>
        <w:t>.    Vehículos que no Cuentan con Documentación Original de Respaldo.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Style w:val="Hipervnculo"/>
          <w:rFonts w:ascii="Arial Narrow" w:hAnsi="Arial Narrow"/>
          <w:b/>
          <w:noProof/>
          <w:color w:val="000000" w:themeColor="text1"/>
        </w:rPr>
        <w:t>R.14</w:t>
      </w:r>
      <w:r w:rsidRPr="003C12D7">
        <w:rPr>
          <w:rStyle w:val="Hipervnculo"/>
          <w:rFonts w:ascii="Arial Narrow" w:hAnsi="Arial Narrow"/>
          <w:noProof/>
          <w:color w:val="000000" w:themeColor="text1"/>
        </w:rPr>
        <w:t xml:space="preserve">.  </w:t>
      </w:r>
      <w:r w:rsidRPr="003C12D7">
        <w:rPr>
          <w:rFonts w:ascii="Arial Narrow" w:eastAsia="Calibri" w:hAnsi="Arial Narrow"/>
          <w:lang w:val="es-ES"/>
        </w:rPr>
        <w:t xml:space="preserve">Construcciones de Bienes de Dominio Privado sin Documentación Saneada, 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Fonts w:ascii="Arial Narrow" w:eastAsia="Calibri" w:hAnsi="Arial Narrow"/>
          <w:b/>
          <w:lang w:val="es-ES"/>
        </w:rPr>
        <w:t>R.15.</w:t>
      </w:r>
      <w:r w:rsidRPr="003C12D7">
        <w:rPr>
          <w:rFonts w:ascii="Arial Narrow" w:eastAsia="Calibri" w:hAnsi="Arial Narrow"/>
          <w:lang w:val="es-ES"/>
        </w:rPr>
        <w:t xml:space="preserve">  </w:t>
      </w:r>
      <w:r w:rsidRPr="003C12D7">
        <w:rPr>
          <w:rFonts w:ascii="Arial Narrow" w:hAnsi="Arial Narrow"/>
          <w:lang w:val="es-ES"/>
        </w:rPr>
        <w:t>Saldos Incorrectos Expuestos en la Cuenta 1.2.5 Activo Intangible</w:t>
      </w:r>
      <w:r w:rsidRPr="003C12D7">
        <w:rPr>
          <w:rFonts w:ascii="Arial Narrow" w:eastAsia="Calibri" w:hAnsi="Arial Narrow"/>
          <w:lang w:val="es-ES"/>
        </w:rPr>
        <w:t xml:space="preserve">, 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Fonts w:ascii="Arial Narrow" w:eastAsia="Calibri" w:hAnsi="Arial Narrow"/>
          <w:b/>
          <w:lang w:val="es-ES"/>
        </w:rPr>
        <w:t>R.17</w:t>
      </w:r>
      <w:r w:rsidRPr="003C12D7">
        <w:rPr>
          <w:rFonts w:ascii="Arial Narrow" w:eastAsia="Calibri" w:hAnsi="Arial Narrow"/>
          <w:lang w:val="es-ES"/>
        </w:rPr>
        <w:t xml:space="preserve">.  </w:t>
      </w:r>
      <w:r w:rsidRPr="003C12D7">
        <w:rPr>
          <w:rFonts w:ascii="Arial Narrow" w:hAnsi="Arial Narrow"/>
          <w:lang w:val="es-ES"/>
        </w:rPr>
        <w:t>Activos Intangibles No Dados de Baja</w:t>
      </w:r>
      <w:r w:rsidRPr="003C12D7">
        <w:rPr>
          <w:rFonts w:ascii="Arial Narrow" w:eastAsia="Calibri" w:hAnsi="Arial Narrow"/>
          <w:lang w:val="es-ES"/>
        </w:rPr>
        <w:t xml:space="preserve">, 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Fonts w:ascii="Arial Narrow" w:eastAsia="Calibri" w:hAnsi="Arial Narrow"/>
          <w:b/>
          <w:lang w:val="es-ES"/>
        </w:rPr>
        <w:t>R.18.</w:t>
      </w:r>
      <w:r w:rsidRPr="003C12D7">
        <w:rPr>
          <w:rFonts w:ascii="Arial Narrow" w:eastAsia="Calibri" w:hAnsi="Arial Narrow"/>
          <w:lang w:val="es-ES"/>
        </w:rPr>
        <w:t xml:space="preserve">  Adeudos a Proveedores desde Gestiones Anteriores, 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Fonts w:ascii="Arial Narrow" w:eastAsia="Calibri" w:hAnsi="Arial Narrow"/>
          <w:b/>
          <w:lang w:val="es-ES"/>
        </w:rPr>
        <w:t>R.20.</w:t>
      </w:r>
      <w:r w:rsidRPr="003C12D7">
        <w:rPr>
          <w:rFonts w:ascii="Arial Narrow" w:eastAsia="Calibri" w:hAnsi="Arial Narrow"/>
          <w:lang w:val="es-ES"/>
        </w:rPr>
        <w:t xml:space="preserve">  </w:t>
      </w:r>
      <w:r w:rsidRPr="003C12D7">
        <w:rPr>
          <w:rFonts w:ascii="Arial Narrow" w:hAnsi="Arial Narrow"/>
          <w:lang w:val="es-ES"/>
        </w:rPr>
        <w:t>Cuentas por Pagar No Identificadas</w:t>
      </w:r>
      <w:r w:rsidRPr="003C12D7">
        <w:rPr>
          <w:rFonts w:ascii="Arial Narrow" w:eastAsia="Calibri" w:hAnsi="Arial Narrow"/>
          <w:lang w:val="es-ES"/>
        </w:rPr>
        <w:t xml:space="preserve">, </w:t>
      </w:r>
    </w:p>
    <w:p w:rsidR="008C707D" w:rsidRPr="003C12D7" w:rsidRDefault="008C707D" w:rsidP="008C707D">
      <w:pPr>
        <w:spacing w:after="0"/>
        <w:ind w:firstLine="360"/>
        <w:jc w:val="both"/>
        <w:rPr>
          <w:rFonts w:ascii="Arial Narrow" w:eastAsia="Calibri" w:hAnsi="Arial Narrow"/>
          <w:lang w:val="es-ES"/>
        </w:rPr>
      </w:pPr>
      <w:r w:rsidRPr="003C12D7">
        <w:rPr>
          <w:rFonts w:ascii="Arial Narrow" w:eastAsia="Calibri" w:hAnsi="Arial Narrow"/>
          <w:b/>
          <w:lang w:val="es-ES"/>
        </w:rPr>
        <w:t>R.26.</w:t>
      </w:r>
      <w:r w:rsidRPr="003C12D7">
        <w:rPr>
          <w:rFonts w:ascii="Arial Narrow" w:eastAsia="Calibri" w:hAnsi="Arial Narrow"/>
          <w:lang w:val="es-ES"/>
        </w:rPr>
        <w:t xml:space="preserve">  </w:t>
      </w:r>
      <w:r w:rsidRPr="003C12D7">
        <w:rPr>
          <w:rFonts w:ascii="Arial Narrow" w:hAnsi="Arial Narrow"/>
          <w:lang w:val="es-ES"/>
        </w:rPr>
        <w:t>Multas y Sanciones determinadas por el PRAHS No Efectivizadas</w:t>
      </w:r>
      <w:r w:rsidRPr="003C12D7">
        <w:rPr>
          <w:rFonts w:ascii="Arial Narrow" w:eastAsia="Calibri" w:hAnsi="Arial Narrow"/>
          <w:lang w:val="es-ES"/>
        </w:rPr>
        <w:t xml:space="preserve"> y </w:t>
      </w:r>
    </w:p>
    <w:p w:rsidR="008C707D" w:rsidRPr="003C12D7" w:rsidRDefault="008C707D" w:rsidP="008C707D">
      <w:pPr>
        <w:spacing w:after="0"/>
        <w:ind w:left="851" w:hanging="851"/>
        <w:jc w:val="both"/>
        <w:rPr>
          <w:rFonts w:ascii="Arial Narrow" w:hAnsi="Arial Narrow"/>
          <w:sz w:val="20"/>
          <w:lang w:val="es-ES"/>
        </w:rPr>
      </w:pPr>
      <w:r w:rsidRPr="003C12D7">
        <w:rPr>
          <w:rFonts w:ascii="Arial Narrow" w:eastAsia="Calibri" w:hAnsi="Arial Narrow"/>
          <w:lang w:val="es-ES"/>
        </w:rPr>
        <w:t xml:space="preserve">       </w:t>
      </w:r>
      <w:r w:rsidRPr="003C12D7">
        <w:rPr>
          <w:rFonts w:ascii="Arial Narrow" w:eastAsia="Calibri" w:hAnsi="Arial Narrow"/>
          <w:b/>
          <w:lang w:val="es-ES"/>
        </w:rPr>
        <w:t>R.31</w:t>
      </w:r>
      <w:r w:rsidRPr="003C12D7">
        <w:rPr>
          <w:rFonts w:ascii="Arial Narrow" w:eastAsia="Calibri" w:hAnsi="Arial Narrow"/>
          <w:lang w:val="es-ES"/>
        </w:rPr>
        <w:t>. Incumplimiento al Cronograma de Cierre de Gestión Administrativa y Financiera DEL GAMS 2018 E Instructivo para el Cierre Presupuestario, Contable y de Tesorería de la Gestión Fiscal 2018</w:t>
      </w:r>
    </w:p>
    <w:p w:rsidR="00035035" w:rsidRPr="008C707D" w:rsidRDefault="00035035" w:rsidP="008C707D">
      <w:pPr>
        <w:rPr>
          <w:lang w:val="es-ES"/>
        </w:rPr>
      </w:pPr>
    </w:p>
    <w:sectPr w:rsidR="00035035" w:rsidRPr="008C707D" w:rsidSect="00E749F2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0B315C"/>
    <w:rsid w:val="00522E43"/>
    <w:rsid w:val="008C707D"/>
    <w:rsid w:val="008C70F7"/>
    <w:rsid w:val="009965E6"/>
    <w:rsid w:val="00D0503A"/>
    <w:rsid w:val="00E749F2"/>
    <w:rsid w:val="00E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2022-06-15T13:32:00Z</dcterms:created>
  <dcterms:modified xsi:type="dcterms:W3CDTF">2022-06-15T13:32:00Z</dcterms:modified>
</cp:coreProperties>
</file>