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FD" w:rsidRPr="006F3EFD" w:rsidRDefault="006F3EFD" w:rsidP="006F3EFD">
      <w:pPr>
        <w:widowControl w:val="0"/>
        <w:snapToGrid w:val="0"/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2"/>
          <w:lang w:val="es-BO" w:eastAsia="es-ES"/>
        </w:rPr>
      </w:pPr>
      <w:r w:rsidRPr="006F3EFD">
        <w:rPr>
          <w:rFonts w:ascii="Arial Narrow" w:eastAsia="Calibri" w:hAnsi="Arial Narrow" w:cs="Times New Roman"/>
          <w:b/>
          <w:sz w:val="24"/>
          <w:szCs w:val="22"/>
          <w:lang w:val="es-BO" w:eastAsia="es-ES"/>
        </w:rPr>
        <w:t>DIRECCCION DE AUDITORIA INTERNA</w:t>
      </w:r>
    </w:p>
    <w:p w:rsidR="006F3EFD" w:rsidRPr="006F3EFD" w:rsidRDefault="006F3EFD" w:rsidP="006F3EFD">
      <w:pPr>
        <w:widowControl w:val="0"/>
        <w:snapToGrid w:val="0"/>
        <w:spacing w:after="0" w:line="240" w:lineRule="auto"/>
        <w:ind w:left="720"/>
        <w:jc w:val="center"/>
        <w:rPr>
          <w:rFonts w:ascii="Arial Narrow" w:eastAsia="Calibri" w:hAnsi="Arial Narrow" w:cs="Times New Roman"/>
          <w:b/>
          <w:sz w:val="22"/>
          <w:szCs w:val="22"/>
          <w:lang w:val="es-BO" w:eastAsia="es-ES"/>
        </w:rPr>
      </w:pPr>
    </w:p>
    <w:p w:rsidR="006F3EFD" w:rsidRPr="006F3EFD" w:rsidRDefault="006F3EFD" w:rsidP="006F3EFD">
      <w:pPr>
        <w:widowControl w:val="0"/>
        <w:snapToGrid w:val="0"/>
        <w:spacing w:after="0" w:line="240" w:lineRule="auto"/>
        <w:jc w:val="center"/>
        <w:rPr>
          <w:rFonts w:ascii="Arial Narrow" w:eastAsia="Calibri" w:hAnsi="Arial Narrow" w:cs="Times New Roman"/>
          <w:b/>
          <w:sz w:val="22"/>
          <w:szCs w:val="22"/>
          <w:lang w:val="es-BO" w:eastAsia="es-ES"/>
        </w:rPr>
      </w:pPr>
      <w:r w:rsidRPr="006F3EFD">
        <w:rPr>
          <w:rFonts w:ascii="Arial Narrow" w:eastAsia="Calibri" w:hAnsi="Arial Narrow" w:cs="Times New Roman"/>
          <w:b/>
          <w:sz w:val="22"/>
          <w:szCs w:val="22"/>
          <w:lang w:val="es-BO" w:eastAsia="es-ES"/>
        </w:rPr>
        <w:t>RESUMEN EJECUTIVO</w:t>
      </w:r>
    </w:p>
    <w:p w:rsidR="006F3EFD" w:rsidRPr="006F3EFD" w:rsidRDefault="006F3EFD" w:rsidP="006F3EFD">
      <w:pPr>
        <w:widowControl w:val="0"/>
        <w:snapToGri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2"/>
          <w:szCs w:val="22"/>
          <w:lang w:val="es-BO" w:eastAsia="es-ES"/>
        </w:rPr>
      </w:pPr>
      <w:r w:rsidRPr="006F3EFD">
        <w:rPr>
          <w:rFonts w:ascii="Arial Narrow" w:eastAsia="Times New Roman" w:hAnsi="Arial Narrow" w:cs="Times New Roman"/>
          <w:b/>
          <w:sz w:val="22"/>
          <w:szCs w:val="22"/>
          <w:lang w:val="es-BO" w:eastAsia="es-ES"/>
        </w:rPr>
        <w:t>INF.  D.A.I. Nº 10/2022</w:t>
      </w:r>
    </w:p>
    <w:p w:rsidR="006F3EFD" w:rsidRPr="006F3EFD" w:rsidRDefault="006F3EFD" w:rsidP="006F3EFD">
      <w:pPr>
        <w:widowControl w:val="0"/>
        <w:snapToGrid w:val="0"/>
        <w:spacing w:after="0" w:line="240" w:lineRule="auto"/>
        <w:ind w:left="720"/>
        <w:jc w:val="center"/>
        <w:rPr>
          <w:rFonts w:ascii="Arial Narrow" w:eastAsia="Calibri" w:hAnsi="Arial Narrow" w:cs="Times New Roman"/>
          <w:b/>
          <w:sz w:val="22"/>
          <w:szCs w:val="22"/>
          <w:lang w:val="es-BO" w:eastAsia="es-ES"/>
        </w:rPr>
      </w:pP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2"/>
          <w:szCs w:val="22"/>
          <w:lang w:val="es-BO" w:eastAsia="es-ES"/>
        </w:rPr>
      </w:pPr>
      <w:r w:rsidRPr="006F3EFD">
        <w:rPr>
          <w:rFonts w:ascii="Arial Narrow" w:eastAsia="Calibri" w:hAnsi="Arial Narrow" w:cs="Times New Roman"/>
          <w:color w:val="000000"/>
          <w:sz w:val="22"/>
          <w:szCs w:val="22"/>
          <w:lang w:val="es-BO" w:eastAsia="es-ES"/>
        </w:rPr>
        <w:t xml:space="preserve">Segundo Seguimiento a las recomendaciones del Informe de Auditoría </w:t>
      </w:r>
      <w:r w:rsidRPr="006F3EFD">
        <w:rPr>
          <w:rFonts w:ascii="Arial Narrow" w:eastAsia="Times New Roman" w:hAnsi="Arial Narrow" w:cs="Times New Roman"/>
          <w:sz w:val="22"/>
          <w:szCs w:val="22"/>
          <w:lang w:val="es-BO" w:eastAsia="es-ES"/>
        </w:rPr>
        <w:t>INF. D.A.I. Nº 03/2020 “</w:t>
      </w:r>
      <w:r w:rsidRPr="006F3EFD">
        <w:rPr>
          <w:rFonts w:ascii="Arial Narrow" w:eastAsia="Times New Roman" w:hAnsi="Arial Narrow" w:cs="Times New Roman"/>
          <w:color w:val="000000"/>
          <w:sz w:val="22"/>
          <w:szCs w:val="22"/>
          <w:lang w:val="es-BO" w:eastAsia="es-ES"/>
        </w:rPr>
        <w:t>Auditoría de Confiabilidad de los Registros y Estados Financieros del Gobierno Autónomo Municipal de Sucre Correspondiente a la Gestión 2019”,</w:t>
      </w:r>
      <w:bookmarkStart w:id="0" w:name="_Toc33626910"/>
      <w:bookmarkStart w:id="1" w:name="_Toc506998668"/>
      <w:bookmarkStart w:id="2" w:name="_Toc506823573"/>
      <w:bookmarkStart w:id="3" w:name="_Toc475205244"/>
      <w:r w:rsidRPr="006F3EFD">
        <w:rPr>
          <w:rFonts w:ascii="Arial Narrow" w:eastAsia="Times New Roman" w:hAnsi="Arial Narrow" w:cs="Courier New"/>
          <w:sz w:val="22"/>
          <w:szCs w:val="22"/>
          <w:lang w:val="es-BO" w:eastAsia="es-ES"/>
        </w:rPr>
        <w:t xml:space="preserve"> </w:t>
      </w:r>
      <w:r w:rsidRPr="006F3EFD">
        <w:rPr>
          <w:rFonts w:ascii="Arial Narrow" w:eastAsia="Times New Roman" w:hAnsi="Arial Narrow" w:cs="Times New Roman"/>
          <w:sz w:val="22"/>
          <w:szCs w:val="22"/>
          <w:lang w:val="es-BO" w:eastAsia="es-ES"/>
        </w:rPr>
        <w:t>en aplicación de la Resolución N° CGR-1/010/97 emitido por la Contraloría General del Estado; Artículo Primero que indica: “</w:t>
      </w:r>
      <w:r w:rsidRPr="006F3EFD">
        <w:rPr>
          <w:rFonts w:ascii="Arial Narrow" w:eastAsia="Times New Roman" w:hAnsi="Arial Narrow" w:cs="Times New Roman"/>
          <w:i/>
          <w:sz w:val="22"/>
          <w:szCs w:val="22"/>
          <w:lang w:val="es-BO" w:eastAsia="es-ES"/>
        </w:rPr>
        <w:t>Las Unidades de Auditoria Interna de cada Entidad Publica deben efectuar exámenes específicos de seguimiento al cumplimiento de las recomendaciones, emergentes de sus propios informes y de las auditorias que se practiquen en dichas entidades…”.</w:t>
      </w: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2"/>
          <w:szCs w:val="22"/>
          <w:lang w:val="es-BO" w:eastAsia="es-ES"/>
        </w:rPr>
      </w:pP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2"/>
          <w:szCs w:val="22"/>
          <w:u w:val="single"/>
          <w:lang w:val="es-BO" w:eastAsia="es-ES"/>
        </w:rPr>
      </w:pPr>
      <w:r w:rsidRPr="006F3EFD">
        <w:rPr>
          <w:rFonts w:ascii="Arial Narrow" w:eastAsia="Calibri" w:hAnsi="Arial Narrow" w:cs="Times New Roman"/>
          <w:b/>
          <w:color w:val="000000"/>
          <w:sz w:val="22"/>
          <w:szCs w:val="22"/>
          <w:u w:val="single"/>
          <w:lang w:val="es-BO" w:eastAsia="es-ES"/>
        </w:rPr>
        <w:t>Objetivo</w:t>
      </w:r>
      <w:bookmarkEnd w:id="0"/>
      <w:bookmarkEnd w:id="1"/>
      <w:bookmarkEnd w:id="2"/>
      <w:bookmarkEnd w:id="3"/>
    </w:p>
    <w:p w:rsidR="006F3EFD" w:rsidRPr="006F3EFD" w:rsidRDefault="006F3EFD" w:rsidP="006F3EFD">
      <w:pPr>
        <w:widowControl w:val="0"/>
        <w:snapToGrid w:val="0"/>
        <w:spacing w:after="0" w:line="240" w:lineRule="auto"/>
        <w:ind w:left="1134"/>
        <w:jc w:val="both"/>
        <w:rPr>
          <w:rFonts w:ascii="Arial Narrow" w:eastAsia="Calibri" w:hAnsi="Arial Narrow" w:cs="Times New Roman"/>
          <w:b/>
          <w:color w:val="000000"/>
          <w:sz w:val="22"/>
          <w:szCs w:val="22"/>
          <w:lang w:val="es-BO" w:eastAsia="es-ES"/>
        </w:rPr>
      </w:pP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Courier New"/>
          <w:sz w:val="22"/>
          <w:szCs w:val="22"/>
          <w:lang w:val="es-BO" w:eastAsia="es-ES"/>
        </w:rPr>
      </w:pPr>
      <w:r w:rsidRPr="006F3EFD">
        <w:rPr>
          <w:rFonts w:ascii="Arial Narrow" w:eastAsia="Times New Roman" w:hAnsi="Arial Narrow" w:cs="Courier New"/>
          <w:sz w:val="22"/>
          <w:szCs w:val="22"/>
          <w:lang w:val="es-BO" w:eastAsia="es-ES"/>
        </w:rPr>
        <w:t>El objetivo del segundo seguimiento es determinar el cumplimiento de las recomendaciones no cumplidas contenidas en el informe INF. D.A.I. N° 07/2021 Informe de Seguimiento al INF. D.A.I.  G.A.M.S. N° 03/2020 “Auditoria sobre la Confiabilidad de los Registros y Estados Financieros del Gobierno Autónomo Municipal de Sucre, correspondiente a la gestión 2019”, las cuales fueron programadas en su totalidad de acuerdo al Formato N° 2 (Cronograma de Implantación).</w:t>
      </w: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2"/>
          <w:szCs w:val="22"/>
          <w:lang w:val="es-BO" w:eastAsia="es-ES"/>
        </w:rPr>
      </w:pP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2"/>
          <w:szCs w:val="22"/>
          <w:u w:val="single"/>
          <w:lang w:val="es-BO" w:eastAsia="es-ES"/>
        </w:rPr>
      </w:pPr>
      <w:bookmarkStart w:id="4" w:name="_Toc33626911"/>
      <w:bookmarkStart w:id="5" w:name="_Toc506998669"/>
      <w:bookmarkStart w:id="6" w:name="_Toc506823574"/>
      <w:bookmarkStart w:id="7" w:name="_Toc475205245"/>
      <w:bookmarkStart w:id="8" w:name="_Toc444152681"/>
      <w:r w:rsidRPr="006F3EFD">
        <w:rPr>
          <w:rFonts w:ascii="Arial Narrow" w:eastAsia="Calibri" w:hAnsi="Arial Narrow" w:cs="Times New Roman"/>
          <w:b/>
          <w:color w:val="000000"/>
          <w:sz w:val="22"/>
          <w:szCs w:val="22"/>
          <w:u w:val="single"/>
          <w:lang w:val="es-BO" w:eastAsia="es-ES"/>
        </w:rPr>
        <w:t>Objeto</w:t>
      </w:r>
      <w:bookmarkEnd w:id="4"/>
      <w:bookmarkEnd w:id="5"/>
      <w:bookmarkEnd w:id="6"/>
      <w:bookmarkEnd w:id="7"/>
      <w:r w:rsidRPr="006F3EFD">
        <w:rPr>
          <w:rFonts w:ascii="Arial Narrow" w:eastAsia="Calibri" w:hAnsi="Arial Narrow" w:cs="Times New Roman"/>
          <w:b/>
          <w:color w:val="000000"/>
          <w:sz w:val="22"/>
          <w:szCs w:val="22"/>
          <w:u w:val="single"/>
          <w:lang w:val="es-BO" w:eastAsia="es-ES"/>
        </w:rPr>
        <w:t xml:space="preserve"> </w:t>
      </w:r>
      <w:bookmarkEnd w:id="8"/>
    </w:p>
    <w:p w:rsidR="006F3EFD" w:rsidRPr="006F3EFD" w:rsidRDefault="006F3EFD" w:rsidP="006F3EFD">
      <w:pPr>
        <w:widowControl w:val="0"/>
        <w:snapToGrid w:val="0"/>
        <w:spacing w:after="0" w:line="240" w:lineRule="auto"/>
        <w:ind w:left="708"/>
        <w:jc w:val="both"/>
        <w:rPr>
          <w:rFonts w:ascii="Arial Narrow" w:eastAsia="Calibri" w:hAnsi="Arial Narrow" w:cs="Times New Roman"/>
          <w:b/>
          <w:color w:val="000000"/>
          <w:sz w:val="22"/>
          <w:szCs w:val="22"/>
          <w:lang w:val="es-BO" w:eastAsia="es-ES"/>
        </w:rPr>
      </w:pP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Courier New"/>
          <w:sz w:val="22"/>
          <w:szCs w:val="22"/>
          <w:lang w:val="es-BO" w:eastAsia="es-BO"/>
        </w:rPr>
      </w:pPr>
      <w:r w:rsidRPr="006F3EFD">
        <w:rPr>
          <w:rFonts w:ascii="Arial Narrow" w:eastAsia="Times New Roman" w:hAnsi="Arial Narrow" w:cs="Courier New"/>
          <w:sz w:val="22"/>
          <w:szCs w:val="22"/>
          <w:lang w:val="es-BO" w:eastAsia="es-BO"/>
        </w:rPr>
        <w:t>El objeto del seguimiento está constituido por la siguiente documentación e información:</w:t>
      </w: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Calibri" w:hAnsi="Arial Narrow" w:cs="Courier New"/>
          <w:sz w:val="22"/>
          <w:szCs w:val="22"/>
          <w:lang w:val="es-BO" w:eastAsia="es-BO"/>
        </w:rPr>
      </w:pPr>
    </w:p>
    <w:p w:rsidR="006F3EFD" w:rsidRPr="006F3EFD" w:rsidRDefault="006F3EFD" w:rsidP="006F3EFD">
      <w:pPr>
        <w:widowControl w:val="0"/>
        <w:numPr>
          <w:ilvl w:val="0"/>
          <w:numId w:val="6"/>
        </w:numPr>
        <w:snapToGrid w:val="0"/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Courier New"/>
          <w:sz w:val="22"/>
          <w:szCs w:val="22"/>
          <w:lang w:val="es-BO" w:eastAsia="es-BO"/>
        </w:rPr>
      </w:pPr>
      <w:r w:rsidRPr="006F3EFD">
        <w:rPr>
          <w:rFonts w:ascii="Arial Narrow" w:eastAsia="Times New Roman" w:hAnsi="Arial Narrow" w:cs="Courier New"/>
          <w:sz w:val="22"/>
          <w:szCs w:val="22"/>
          <w:lang w:val="es-BO" w:eastAsia="es-BO"/>
        </w:rPr>
        <w:t>Informe de Auditoría INF. D.A.I. N° 07/2021, Informe de seguimiento.</w:t>
      </w:r>
    </w:p>
    <w:p w:rsidR="006F3EFD" w:rsidRPr="006F3EFD" w:rsidRDefault="006F3EFD" w:rsidP="006F3EFD">
      <w:pPr>
        <w:widowControl w:val="0"/>
        <w:numPr>
          <w:ilvl w:val="0"/>
          <w:numId w:val="6"/>
        </w:numPr>
        <w:snapToGrid w:val="0"/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Courier New"/>
          <w:sz w:val="22"/>
          <w:szCs w:val="22"/>
          <w:lang w:val="es-BO" w:eastAsia="es-BO"/>
        </w:rPr>
      </w:pPr>
      <w:r w:rsidRPr="006F3EFD">
        <w:rPr>
          <w:rFonts w:ascii="Arial Narrow" w:eastAsia="Times New Roman" w:hAnsi="Arial Narrow" w:cs="Courier New"/>
          <w:sz w:val="22"/>
          <w:szCs w:val="22"/>
          <w:lang w:val="es-BO" w:eastAsia="es-BO"/>
        </w:rPr>
        <w:t>Informe de auditoría INF. D.AI. N° 07/2021 Auditoria de Confiabilidad de Registros y Estados Financieros gestión 2019.</w:t>
      </w:r>
    </w:p>
    <w:p w:rsidR="006F3EFD" w:rsidRPr="006F3EFD" w:rsidRDefault="006F3EFD" w:rsidP="006F3EFD">
      <w:pPr>
        <w:widowControl w:val="0"/>
        <w:numPr>
          <w:ilvl w:val="0"/>
          <w:numId w:val="6"/>
        </w:numPr>
        <w:snapToGrid w:val="0"/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Courier New"/>
          <w:sz w:val="22"/>
          <w:szCs w:val="22"/>
          <w:lang w:val="es-BO" w:eastAsia="es-BO"/>
        </w:rPr>
      </w:pPr>
      <w:r w:rsidRPr="006F3EFD">
        <w:rPr>
          <w:rFonts w:ascii="Arial Narrow" w:eastAsia="Times New Roman" w:hAnsi="Arial Narrow" w:cs="Courier New"/>
          <w:sz w:val="22"/>
          <w:szCs w:val="22"/>
          <w:lang w:val="es-BO" w:eastAsia="es-BO"/>
        </w:rPr>
        <w:t>El Formato 2 cronograma de implantación</w:t>
      </w:r>
    </w:p>
    <w:p w:rsidR="006F3EFD" w:rsidRPr="006F3EFD" w:rsidRDefault="006F3EFD" w:rsidP="006F3EFD">
      <w:pPr>
        <w:widowControl w:val="0"/>
        <w:numPr>
          <w:ilvl w:val="0"/>
          <w:numId w:val="6"/>
        </w:numPr>
        <w:snapToGrid w:val="0"/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Courier New"/>
          <w:sz w:val="22"/>
          <w:szCs w:val="22"/>
          <w:lang w:val="es-BO" w:eastAsia="es-BO"/>
        </w:rPr>
      </w:pPr>
      <w:r w:rsidRPr="006F3EFD">
        <w:rPr>
          <w:rFonts w:ascii="Arial Narrow" w:eastAsia="Times New Roman" w:hAnsi="Arial Narrow" w:cs="Courier New"/>
          <w:sz w:val="22"/>
          <w:szCs w:val="22"/>
          <w:lang w:val="es-BO" w:eastAsia="es-BO"/>
        </w:rPr>
        <w:t>Instructivos para el cumplimiento de las recomendaciones.</w:t>
      </w:r>
    </w:p>
    <w:p w:rsidR="006F3EFD" w:rsidRPr="006F3EFD" w:rsidRDefault="006F3EFD" w:rsidP="006F3EFD">
      <w:pPr>
        <w:widowControl w:val="0"/>
        <w:numPr>
          <w:ilvl w:val="0"/>
          <w:numId w:val="6"/>
        </w:numPr>
        <w:snapToGrid w:val="0"/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Courier New"/>
          <w:sz w:val="22"/>
          <w:szCs w:val="22"/>
          <w:lang w:val="es-BO" w:eastAsia="es-BO"/>
        </w:rPr>
      </w:pPr>
      <w:r w:rsidRPr="006F3EFD">
        <w:rPr>
          <w:rFonts w:ascii="Arial Narrow" w:eastAsia="Times New Roman" w:hAnsi="Arial Narrow" w:cs="Courier New"/>
          <w:sz w:val="22"/>
          <w:szCs w:val="22"/>
          <w:lang w:val="es-BO" w:eastAsia="es-BO"/>
        </w:rPr>
        <w:t>Informes generados por las áreas auditadas.</w:t>
      </w:r>
    </w:p>
    <w:p w:rsidR="006F3EFD" w:rsidRPr="006F3EFD" w:rsidRDefault="006F3EFD" w:rsidP="006F3EFD">
      <w:pPr>
        <w:widowControl w:val="0"/>
        <w:numPr>
          <w:ilvl w:val="0"/>
          <w:numId w:val="6"/>
        </w:numPr>
        <w:snapToGrid w:val="0"/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Courier New"/>
          <w:sz w:val="22"/>
          <w:szCs w:val="22"/>
          <w:lang w:val="es-BO" w:eastAsia="es-BO"/>
        </w:rPr>
      </w:pPr>
      <w:r w:rsidRPr="006F3EFD">
        <w:rPr>
          <w:rFonts w:ascii="Arial Narrow" w:eastAsia="Times New Roman" w:hAnsi="Arial Narrow" w:cs="Courier New"/>
          <w:sz w:val="22"/>
          <w:szCs w:val="22"/>
          <w:lang w:val="es-BO" w:eastAsia="es-BO"/>
        </w:rPr>
        <w:t>Documentación que respalda el cumplimiento de las recomendaciones.</w:t>
      </w:r>
    </w:p>
    <w:p w:rsidR="006F3EFD" w:rsidRPr="006F3EFD" w:rsidRDefault="006F3EFD" w:rsidP="006F3EFD">
      <w:pPr>
        <w:widowControl w:val="0"/>
        <w:numPr>
          <w:ilvl w:val="0"/>
          <w:numId w:val="6"/>
        </w:numPr>
        <w:snapToGrid w:val="0"/>
        <w:spacing w:after="0" w:line="240" w:lineRule="auto"/>
        <w:ind w:left="426" w:hanging="284"/>
        <w:contextualSpacing/>
        <w:jc w:val="both"/>
        <w:rPr>
          <w:rFonts w:ascii="Arial Narrow" w:eastAsia="Times New Roman" w:hAnsi="Arial Narrow" w:cs="Courier New"/>
          <w:sz w:val="22"/>
          <w:szCs w:val="22"/>
          <w:lang w:val="es-BO" w:eastAsia="es-ES"/>
        </w:rPr>
      </w:pPr>
      <w:r w:rsidRPr="006F3EFD">
        <w:rPr>
          <w:rFonts w:ascii="Arial Narrow" w:eastAsia="Times New Roman" w:hAnsi="Arial Narrow" w:cs="Courier New"/>
          <w:sz w:val="22"/>
          <w:szCs w:val="22"/>
          <w:lang w:val="es-BO" w:eastAsia="es-BO"/>
        </w:rPr>
        <w:t>Otra documentación e información relacionada con las recomendaciones sujetas a seguimiento.</w:t>
      </w:r>
    </w:p>
    <w:p w:rsidR="006F3EFD" w:rsidRPr="006F3EFD" w:rsidRDefault="006F3EFD" w:rsidP="006F3EFD">
      <w:pPr>
        <w:widowControl w:val="0"/>
        <w:snapToGrid w:val="0"/>
        <w:spacing w:after="0" w:line="240" w:lineRule="auto"/>
        <w:ind w:left="644"/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es-BO" w:eastAsia="es-ES"/>
        </w:rPr>
      </w:pP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Calibri" w:hAnsi="Arial Narrow" w:cs="Times New Roman"/>
          <w:b/>
          <w:noProof/>
          <w:color w:val="000000"/>
          <w:sz w:val="22"/>
          <w:szCs w:val="22"/>
          <w:u w:val="single"/>
          <w:lang w:val="es-ES" w:eastAsia="es-ES"/>
        </w:rPr>
      </w:pPr>
      <w:hyperlink r:id="rId6" w:anchor="_Toc33626915" w:history="1">
        <w:r w:rsidRPr="006F3EFD">
          <w:rPr>
            <w:rFonts w:ascii="Arial Narrow" w:eastAsia="Calibri" w:hAnsi="Arial Narrow" w:cs="Times New Roman"/>
            <w:b/>
            <w:noProof/>
            <w:color w:val="000000"/>
            <w:sz w:val="22"/>
            <w:szCs w:val="22"/>
            <w:u w:val="single"/>
            <w:lang w:val="es-ES" w:eastAsia="es-ES"/>
          </w:rPr>
          <w:t>RESULTADOS DEL SEGUIMIENTO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Calibri" w:hAnsi="Arial Narrow" w:cs="Times New Roman"/>
          <w:b/>
          <w:noProof/>
          <w:color w:val="000000"/>
          <w:sz w:val="22"/>
          <w:szCs w:val="22"/>
          <w:u w:val="single"/>
          <w:lang w:val="es-ES" w:eastAsia="es-ES"/>
        </w:rPr>
      </w:pPr>
    </w:p>
    <w:p w:rsidR="006F3EFD" w:rsidRPr="006F3EFD" w:rsidRDefault="006F3EFD" w:rsidP="006F3EFD">
      <w:pPr>
        <w:widowControl w:val="0"/>
        <w:tabs>
          <w:tab w:val="left" w:pos="9923"/>
        </w:tabs>
        <w:snapToGrid w:val="0"/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val="es-BO" w:eastAsia="es-BO"/>
        </w:rPr>
      </w:pPr>
      <w:r w:rsidRPr="006F3EFD">
        <w:rPr>
          <w:rFonts w:ascii="Arial Narrow" w:eastAsia="Times New Roman" w:hAnsi="Arial Narrow" w:cs="Times New Roman"/>
          <w:sz w:val="22"/>
          <w:szCs w:val="22"/>
          <w:lang w:val="es-BO" w:eastAsia="es-BO"/>
        </w:rPr>
        <w:t>La evaluación se ha realizado de acuerdo a las Normas Generales de Auditoria Gubernamental y el Resultado es el que sigue:</w:t>
      </w:r>
    </w:p>
    <w:p w:rsidR="006F3EFD" w:rsidRPr="006F3EFD" w:rsidRDefault="006F3EFD" w:rsidP="006F3EFD">
      <w:pPr>
        <w:widowControl w:val="0"/>
        <w:snapToGrid w:val="0"/>
        <w:spacing w:after="0" w:line="240" w:lineRule="auto"/>
        <w:ind w:left="705"/>
        <w:jc w:val="both"/>
        <w:rPr>
          <w:rFonts w:ascii="Arial Narrow" w:eastAsia="Times New Roman" w:hAnsi="Arial Narrow" w:cs="Times New Roman"/>
          <w:sz w:val="22"/>
          <w:szCs w:val="22"/>
          <w:lang w:val="es-BO" w:eastAsia="es-BO"/>
        </w:rPr>
      </w:pP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szCs w:val="22"/>
          <w:lang w:val="es-BO" w:eastAsia="es-BO"/>
        </w:rPr>
      </w:pPr>
      <w:r w:rsidRPr="006F3EFD">
        <w:rPr>
          <w:rFonts w:ascii="Arial Narrow" w:eastAsia="Times New Roman" w:hAnsi="Arial Narrow" w:cs="Times New Roman"/>
          <w:b/>
          <w:sz w:val="22"/>
          <w:szCs w:val="22"/>
          <w:lang w:val="es-BO" w:eastAsia="es-BO"/>
        </w:rPr>
        <w:t xml:space="preserve">Recomendaciones Cumplidas  </w:t>
      </w:r>
    </w:p>
    <w:p w:rsidR="006F3EFD" w:rsidRPr="006F3EFD" w:rsidRDefault="006F3EFD" w:rsidP="006F3EFD">
      <w:pPr>
        <w:widowControl w:val="0"/>
        <w:snapToGrid w:val="0"/>
        <w:spacing w:after="0" w:line="240" w:lineRule="auto"/>
        <w:ind w:left="705"/>
        <w:jc w:val="both"/>
        <w:rPr>
          <w:rFonts w:ascii="Arial Narrow" w:eastAsia="Times New Roman" w:hAnsi="Arial Narrow" w:cs="Times New Roman"/>
          <w:b/>
          <w:sz w:val="22"/>
          <w:szCs w:val="22"/>
          <w:lang w:val="es-BO" w:eastAsia="es-BO"/>
        </w:rPr>
      </w:pP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color w:val="000000"/>
          <w:sz w:val="22"/>
          <w:szCs w:val="22"/>
          <w:lang w:val="es-BO" w:eastAsia="es-ES"/>
        </w:rPr>
      </w:pPr>
      <w:hyperlink r:id="rId7" w:anchor="_Toc33626929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2.1</w:t>
        </w:r>
        <w:r w:rsidRPr="006F3EFD">
          <w:rPr>
            <w:rFonts w:ascii="Arial Narrow" w:eastAsia="Times New Roman" w:hAnsi="Arial Narrow" w:cs="Times New Roman"/>
            <w:color w:val="000000"/>
            <w:sz w:val="22"/>
            <w:szCs w:val="22"/>
            <w:lang w:val="es-BO" w:eastAsia="es-ES"/>
          </w:rPr>
          <w:tab/>
        </w:r>
      </w:hyperlink>
      <w:r w:rsidRPr="006F3EFD">
        <w:rPr>
          <w:rFonts w:ascii="Arial Narrow" w:eastAsia="Times New Roman" w:hAnsi="Arial Narrow" w:cs="Times New Roman"/>
          <w:noProof/>
          <w:color w:val="000000"/>
          <w:sz w:val="22"/>
          <w:szCs w:val="22"/>
          <w:lang w:val="es-BO" w:eastAsia="es-ES"/>
        </w:rPr>
        <w:t>Inexistencia de Código de Etica en le Gobierno Autónomo Municipal de Sucre</w:t>
      </w: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8" w:anchor="_Toc33626919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2.4</w:t>
        </w:r>
        <w:r w:rsidRPr="006F3EFD">
          <w:rPr>
            <w:rFonts w:ascii="Arial Narrow" w:eastAsia="Times New Roman" w:hAnsi="Arial Narrow" w:cs="Times New Roman"/>
            <w:noProof/>
            <w:color w:val="0563C1"/>
            <w:sz w:val="22"/>
            <w:szCs w:val="22"/>
            <w:lang w:val="es-BO" w:eastAsia="es-BO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Falta de realización de Arqueos e Inventarios de Valores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9" w:anchor="_Toc33626921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2.6</w:t>
        </w:r>
        <w:r w:rsidRPr="006F3EFD">
          <w:rPr>
            <w:rFonts w:ascii="Arial Narrow" w:eastAsia="Times New Roman" w:hAnsi="Arial Narrow" w:cs="Times New Roman"/>
            <w:noProof/>
            <w:color w:val="0563C1"/>
            <w:sz w:val="22"/>
            <w:szCs w:val="22"/>
            <w:lang w:val="es-BO" w:eastAsia="es-BO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Documentación de respaldo insuficiente en la anulación de cheques administrados por la Jefatura de Tesorería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10" w:anchor="_Toc33626925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2.10</w:t>
        </w:r>
        <w:r w:rsidRPr="006F3EFD">
          <w:rPr>
            <w:rFonts w:ascii="Arial Narrow" w:eastAsia="Times New Roman" w:hAnsi="Arial Narrow" w:cs="Times New Roman"/>
            <w:color w:val="0563C1"/>
            <w:sz w:val="22"/>
            <w:szCs w:val="22"/>
            <w:lang w:val="es-BO" w:eastAsia="es-BO"/>
          </w:rPr>
          <w:t xml:space="preserve"> </w:t>
        </w:r>
        <w:r w:rsidRPr="006F3EFD">
          <w:rPr>
            <w:rFonts w:ascii="Arial Narrow" w:eastAsia="Times New Roman" w:hAnsi="Arial Narrow" w:cs="Times New Roman"/>
            <w:color w:val="0563C1"/>
            <w:sz w:val="22"/>
            <w:szCs w:val="22"/>
            <w:lang w:val="es-BO" w:eastAsia="es-BO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Inexistencia de un medio informático interno adecuado para el módulo de almacenes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11" w:anchor="_Toc33626926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2.11</w:t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ab/>
          <w:t>Diferencias en los saldos físicos de Almacén (sobrantes y faltantes)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ind w:left="705" w:hanging="705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12" w:anchor="_Toc33626927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eastAsia="es-ES"/>
          </w:rPr>
          <w:t>2.12</w:t>
        </w:r>
        <w:r w:rsidRPr="006F3EFD">
          <w:rPr>
            <w:rFonts w:ascii="Arial Narrow" w:eastAsia="Times New Roman" w:hAnsi="Arial Narrow" w:cs="Times New Roman"/>
            <w:color w:val="0563C1"/>
            <w:sz w:val="22"/>
            <w:szCs w:val="22"/>
            <w:lang w:val="es-BO" w:eastAsia="es-BO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eastAsia="es-ES"/>
          </w:rPr>
          <w:t>Ambientes inadecuados de los Sub Almacenes de Jefatura de De</w:t>
        </w:r>
        <w:r w:rsidRPr="006F3EFD">
          <w:rPr>
            <w:rFonts w:ascii="Arial Narrow" w:eastAsia="Times New Roman" w:hAnsi="Arial Narrow" w:cs="Times New Roman"/>
            <w:color w:val="000000"/>
            <w:sz w:val="22"/>
            <w:szCs w:val="22"/>
            <w:lang w:eastAsia="es-ES"/>
          </w:rPr>
          <w:t xml:space="preserve">portes y Dirección de Alumbrado   </w:t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eastAsia="es-ES"/>
          </w:rPr>
          <w:t>publico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13" w:anchor="_Toc33626928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2.13</w:t>
        </w:r>
        <w:r w:rsidRPr="006F3EFD">
          <w:rPr>
            <w:rFonts w:ascii="Arial Narrow" w:eastAsia="Times New Roman" w:hAnsi="Arial Narrow" w:cs="Times New Roman"/>
            <w:color w:val="0563C1"/>
            <w:sz w:val="22"/>
            <w:szCs w:val="22"/>
            <w:lang w:val="es-BO" w:eastAsia="es-BO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Materiales en Sub Almacenes no registrados en el Inventario del sistema SIGMA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14" w:anchor="_Toc33626930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2.15</w:t>
        </w:r>
        <w:r w:rsidRPr="006F3EFD">
          <w:rPr>
            <w:rFonts w:ascii="Arial Narrow" w:eastAsia="Times New Roman" w:hAnsi="Arial Narrow" w:cs="Times New Roman"/>
            <w:color w:val="000000"/>
            <w:sz w:val="22"/>
            <w:szCs w:val="22"/>
            <w:lang w:val="es-BO" w:eastAsia="es-ES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Existencia de artículos de Almacén, sin movimiento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15" w:anchor="_Toc33626931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2.16</w:t>
        </w:r>
        <w:r w:rsidRPr="006F3EFD">
          <w:rPr>
            <w:rFonts w:ascii="Arial Narrow" w:eastAsia="Times New Roman" w:hAnsi="Arial Narrow" w:cs="Times New Roman"/>
            <w:color w:val="000000"/>
            <w:sz w:val="22"/>
            <w:szCs w:val="22"/>
            <w:lang w:val="es-BO" w:eastAsia="es-ES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Falta de un adecuado Formulario de Pedido Interno de Materiales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color w:val="000000"/>
          <w:sz w:val="22"/>
          <w:szCs w:val="22"/>
          <w:lang w:val="es-BO" w:eastAsia="es-ES"/>
        </w:rPr>
      </w:pPr>
      <w:hyperlink r:id="rId16" w:anchor="_Toc33626933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2.18</w:t>
        </w:r>
        <w:r w:rsidRPr="006F3EFD">
          <w:rPr>
            <w:rFonts w:ascii="Arial Narrow" w:eastAsia="Times New Roman" w:hAnsi="Arial Narrow" w:cs="Times New Roman"/>
            <w:color w:val="000000"/>
            <w:sz w:val="22"/>
            <w:szCs w:val="22"/>
            <w:lang w:val="es-BO" w:eastAsia="es-ES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Títulos y Valores custodiados en la Unidad Organizacional distinta a la establecida en la normativa vigente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17" w:anchor="_Toc33626936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2.21</w:t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ab/>
          <w:t>Donaciones recibidas no registradas por la Jefatura de Activos Fijos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Calibri" w:hAnsi="Arial Narrow" w:cs="Times New Roman"/>
          <w:noProof/>
          <w:color w:val="000000"/>
          <w:spacing w:val="-2"/>
          <w:sz w:val="22"/>
          <w:szCs w:val="22"/>
          <w:lang w:val="es-BO" w:eastAsia="es-ES"/>
        </w:rPr>
      </w:pPr>
      <w:hyperlink r:id="rId18" w:anchor="_Toc33626940" w:history="1">
        <w:r w:rsidRPr="006F3EFD">
          <w:rPr>
            <w:rFonts w:ascii="Arial Narrow" w:eastAsia="Calibri" w:hAnsi="Arial Narrow" w:cs="Times New Roman"/>
            <w:noProof/>
            <w:color w:val="000000"/>
            <w:spacing w:val="-2"/>
            <w:sz w:val="22"/>
            <w:szCs w:val="22"/>
            <w:lang w:val="es-BO" w:eastAsia="es-ES"/>
          </w:rPr>
          <w:t>2.25</w:t>
        </w:r>
        <w:r w:rsidRPr="006F3EFD">
          <w:rPr>
            <w:rFonts w:ascii="Arial Narrow" w:eastAsia="Calibri" w:hAnsi="Arial Narrow" w:cs="Times New Roman"/>
            <w:color w:val="000000"/>
            <w:spacing w:val="-2"/>
            <w:sz w:val="22"/>
            <w:szCs w:val="22"/>
            <w:lang w:val="es-BO" w:eastAsia="es-ES"/>
          </w:rPr>
          <w:t xml:space="preserve"> </w:t>
        </w:r>
        <w:r w:rsidRPr="006F3EFD">
          <w:rPr>
            <w:rFonts w:ascii="Arial Narrow" w:eastAsia="Calibri" w:hAnsi="Arial Narrow" w:cs="Times New Roman"/>
            <w:color w:val="000000"/>
            <w:spacing w:val="-2"/>
            <w:sz w:val="22"/>
            <w:szCs w:val="22"/>
            <w:lang w:val="es-BO" w:eastAsia="es-ES"/>
          </w:rPr>
          <w:tab/>
        </w:r>
        <w:r w:rsidRPr="006F3EFD">
          <w:rPr>
            <w:rFonts w:ascii="Arial Narrow" w:eastAsia="Calibri" w:hAnsi="Arial Narrow" w:cs="Times New Roman"/>
            <w:noProof/>
            <w:color w:val="000000"/>
            <w:spacing w:val="-2"/>
            <w:sz w:val="22"/>
            <w:szCs w:val="22"/>
            <w:lang w:val="es-BO" w:eastAsia="es-ES"/>
          </w:rPr>
          <w:t>Incumplimiento a los objetivos del Contrato de Préstamo N° 2664/BL-BO por parte de la Jefatura de Catastro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noProof/>
          <w:color w:val="000000"/>
          <w:spacing w:val="-2"/>
          <w:sz w:val="22"/>
          <w:szCs w:val="22"/>
          <w:lang w:val="es-BO" w:eastAsia="es-ES"/>
        </w:rPr>
      </w:pPr>
      <w:hyperlink r:id="rId19" w:anchor="_Toc33626944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2.29</w:t>
        </w:r>
        <w:r w:rsidRPr="006F3EFD">
          <w:rPr>
            <w:rFonts w:ascii="Arial Narrow" w:eastAsia="Times New Roman" w:hAnsi="Arial Narrow" w:cs="Times New Roman"/>
            <w:noProof/>
            <w:color w:val="0563C1"/>
            <w:sz w:val="22"/>
            <w:szCs w:val="22"/>
            <w:lang w:val="es-BO" w:eastAsia="es-BO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 xml:space="preserve">Los </w:t>
        </w:r>
        <w:r w:rsidRPr="006F3EFD">
          <w:rPr>
            <w:rFonts w:ascii="Arial Narrow" w:eastAsia="Times New Roman" w:hAnsi="Arial Narrow" w:cs="Times New Roman"/>
            <w:noProof/>
            <w:color w:val="000000"/>
            <w:spacing w:val="-1"/>
            <w:sz w:val="22"/>
            <w:szCs w:val="22"/>
            <w:lang w:val="es-BO" w:eastAsia="es-ES"/>
          </w:rPr>
          <w:t>i</w:t>
        </w:r>
        <w:r w:rsidRPr="006F3EFD">
          <w:rPr>
            <w:rFonts w:ascii="Arial Narrow" w:eastAsia="Times New Roman" w:hAnsi="Arial Narrow" w:cs="Times New Roman"/>
            <w:noProof/>
            <w:color w:val="000000"/>
            <w:spacing w:val="-3"/>
            <w:sz w:val="22"/>
            <w:szCs w:val="22"/>
            <w:lang w:val="es-BO" w:eastAsia="es-ES"/>
          </w:rPr>
          <w:t>n</w:t>
        </w:r>
        <w:r w:rsidRPr="006F3EFD">
          <w:rPr>
            <w:rFonts w:ascii="Arial Narrow" w:eastAsia="Times New Roman" w:hAnsi="Arial Narrow" w:cs="Times New Roman"/>
            <w:noProof/>
            <w:color w:val="000000"/>
            <w:spacing w:val="3"/>
            <w:sz w:val="22"/>
            <w:szCs w:val="22"/>
            <w:lang w:val="es-BO" w:eastAsia="es-ES"/>
          </w:rPr>
          <w:t>f</w:t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o</w:t>
        </w:r>
        <w:r w:rsidRPr="006F3EFD">
          <w:rPr>
            <w:rFonts w:ascii="Arial Narrow" w:eastAsia="Times New Roman" w:hAnsi="Arial Narrow" w:cs="Times New Roman"/>
            <w:noProof/>
            <w:color w:val="000000"/>
            <w:spacing w:val="-2"/>
            <w:sz w:val="22"/>
            <w:szCs w:val="22"/>
            <w:lang w:val="es-BO" w:eastAsia="es-ES"/>
          </w:rPr>
          <w:t>rmes periódicos de los avances físicos financieros de las construcciones en Proceso y Obras concluidas presentados a la MAE, no cuentan con recomendaciones y/o sugerencias para una adecuada toma de decisiones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r w:rsidRPr="006F3EFD">
        <w:rPr>
          <w:rFonts w:ascii="Arial Narrow" w:eastAsia="Times New Roman" w:hAnsi="Arial Narrow" w:cs="Times New Roman"/>
          <w:sz w:val="22"/>
          <w:szCs w:val="22"/>
          <w:lang w:val="es-BO" w:eastAsia="es-ES"/>
        </w:rPr>
        <w:t>2.33</w:t>
      </w:r>
      <w:r w:rsidRPr="006F3EFD">
        <w:rPr>
          <w:rFonts w:ascii="Arial Narrow" w:eastAsia="Times New Roman" w:hAnsi="Arial Narrow" w:cs="Times New Roman"/>
          <w:sz w:val="22"/>
          <w:szCs w:val="22"/>
          <w:lang w:val="es-BO" w:eastAsia="es-ES"/>
        </w:rPr>
        <w:tab/>
        <w:t>Insuficiencia de información en los proyectos de Inversión Pública</w:t>
      </w: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20" w:anchor="_Toc33626952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2.38</w:t>
        </w:r>
        <w:r w:rsidRPr="006F3EFD">
          <w:rPr>
            <w:rFonts w:ascii="Arial Narrow" w:eastAsia="Times New Roman" w:hAnsi="Arial Narrow" w:cs="Times New Roman"/>
            <w:color w:val="000000"/>
            <w:sz w:val="22"/>
            <w:szCs w:val="22"/>
            <w:lang w:val="es-BO" w:eastAsia="es-ES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Falta de acciones legales de cobro por concepto de alquileres de edificios, tierras y terrenos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21" w:anchor="_Toc33626954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2.40</w:t>
        </w:r>
        <w:r w:rsidRPr="006F3EFD">
          <w:rPr>
            <w:rFonts w:ascii="Arial Narrow" w:eastAsia="Times New Roman" w:hAnsi="Arial Narrow" w:cs="Times New Roman"/>
            <w:color w:val="000000"/>
            <w:sz w:val="22"/>
            <w:szCs w:val="22"/>
            <w:lang w:val="es-BO" w:eastAsia="es-ES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Insuficiente documentación de respaldo en registros de recaudación por Tasa de Alumbrado Público</w:t>
        </w:r>
      </w:hyperlink>
      <w:r w:rsidRPr="006F3EFD"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  <w:t xml:space="preserve"> </w:t>
      </w: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Calibri" w:hAnsi="Arial Narrow" w:cs="Times New Roman"/>
          <w:noProof/>
          <w:color w:val="000000"/>
          <w:sz w:val="22"/>
          <w:szCs w:val="22"/>
          <w:lang w:val="es-BO" w:eastAsia="es-ES"/>
        </w:rPr>
      </w:pPr>
      <w:hyperlink r:id="rId22" w:anchor="_Toc33626956" w:history="1">
        <w:r w:rsidRPr="006F3EFD">
          <w:rPr>
            <w:rFonts w:ascii="Arial Narrow" w:eastAsia="Calibri" w:hAnsi="Arial Narrow" w:cs="Times New Roman"/>
            <w:noProof/>
            <w:color w:val="000000"/>
            <w:sz w:val="22"/>
            <w:szCs w:val="22"/>
            <w:lang w:val="es-BO" w:eastAsia="es-ES"/>
          </w:rPr>
          <w:t>2.42</w:t>
        </w:r>
        <w:r w:rsidRPr="006F3EFD">
          <w:rPr>
            <w:rFonts w:ascii="Arial Narrow" w:eastAsia="Calibri" w:hAnsi="Arial Narrow" w:cs="Times New Roman"/>
            <w:color w:val="000000"/>
            <w:sz w:val="22"/>
            <w:szCs w:val="22"/>
            <w:lang w:val="es-BO" w:eastAsia="es-ES"/>
          </w:rPr>
          <w:tab/>
        </w:r>
        <w:r w:rsidRPr="006F3EFD">
          <w:rPr>
            <w:rFonts w:ascii="Arial Narrow" w:eastAsia="Calibri" w:hAnsi="Arial Narrow" w:cs="Times New Roman"/>
            <w:noProof/>
            <w:color w:val="000000"/>
            <w:sz w:val="22"/>
            <w:szCs w:val="22"/>
            <w:lang w:val="es-BO" w:eastAsia="es-ES"/>
          </w:rPr>
          <w:t>Ausencia de documentación en los files de personal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szCs w:val="22"/>
          <w:lang w:val="es-BO" w:eastAsia="es-BO"/>
        </w:rPr>
      </w:pPr>
      <w:r w:rsidRPr="006F3EFD">
        <w:rPr>
          <w:rFonts w:ascii="Arial Narrow" w:eastAsia="Times New Roman" w:hAnsi="Arial Narrow" w:cs="Times New Roman"/>
          <w:b/>
          <w:sz w:val="22"/>
          <w:szCs w:val="22"/>
          <w:lang w:val="es-BO" w:eastAsia="es-BO"/>
        </w:rPr>
        <w:t>Recomendaciones No Cumplidas</w:t>
      </w: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szCs w:val="22"/>
          <w:lang w:val="es-BO" w:eastAsia="es-BO"/>
        </w:rPr>
      </w:pP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r w:rsidRPr="006F3EFD"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  <w:t>2.2</w:t>
      </w:r>
      <w:r w:rsidRPr="006F3EFD"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  <w:tab/>
        <w:t>Incumplimiento del Art. 19 del Reglamento Especifico del Sistema de Administración  de Personal</w:t>
      </w:r>
    </w:p>
    <w:p w:rsidR="006F3EFD" w:rsidRPr="006F3EFD" w:rsidRDefault="006F3EFD" w:rsidP="006F3EFD">
      <w:pPr>
        <w:widowControl w:val="0"/>
        <w:snapToGrid w:val="0"/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23" w:anchor="_Toc33626918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2.3</w:t>
        </w:r>
        <w:r w:rsidRPr="006F3EFD">
          <w:rPr>
            <w:rFonts w:ascii="Arial Narrow" w:eastAsia="Times New Roman" w:hAnsi="Arial Narrow" w:cs="Times New Roman"/>
            <w:noProof/>
            <w:color w:val="0563C1"/>
            <w:sz w:val="22"/>
            <w:szCs w:val="22"/>
            <w:lang w:val="es-BO" w:eastAsia="es-BO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Incumplimiento parcial de plazos del Cronograma de Cierre de Gestión Administrativa y Financiera del GAMS e Instructivo para el Cierre Presupuestario, Contable y de Tesorería de la Gestión Fiscal 2019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24" w:anchor="_Toc33626920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2.5</w:t>
        </w:r>
        <w:r w:rsidRPr="006F3EFD">
          <w:rPr>
            <w:rFonts w:ascii="Arial Narrow" w:eastAsia="Times New Roman" w:hAnsi="Arial Narrow" w:cs="Times New Roman"/>
            <w:noProof/>
            <w:color w:val="0563C1"/>
            <w:sz w:val="22"/>
            <w:szCs w:val="22"/>
            <w:lang w:val="es-BO" w:eastAsia="es-BO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Retraso considerable de Registro Contable de Ingreso de Recursos (C-21)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25" w:anchor="_Toc33626922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2.7</w:t>
        </w:r>
        <w:r w:rsidRPr="006F3EFD">
          <w:rPr>
            <w:rFonts w:ascii="Arial Narrow" w:eastAsia="Times New Roman" w:hAnsi="Arial Narrow" w:cs="Times New Roman"/>
            <w:noProof/>
            <w:color w:val="0563C1"/>
            <w:sz w:val="22"/>
            <w:szCs w:val="22"/>
            <w:lang w:val="es-BO" w:eastAsia="es-BO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Falta de coordinación y acciones efectivas para la regularización de cuentas del activo exigible (Anticipos a corto Plazo, Otras cuentas por cobrar a largo plazo)</w:t>
        </w:r>
      </w:hyperlink>
      <w:r w:rsidRPr="006F3EFD"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  <w:t xml:space="preserve"> </w:t>
      </w: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26" w:anchor="_Toc33626923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2.8</w:t>
        </w:r>
        <w:r w:rsidRPr="006F3EFD">
          <w:rPr>
            <w:rFonts w:ascii="Arial Narrow" w:eastAsia="Times New Roman" w:hAnsi="Arial Narrow" w:cs="Times New Roman"/>
            <w:noProof/>
            <w:color w:val="0563C1"/>
            <w:sz w:val="22"/>
            <w:szCs w:val="22"/>
            <w:lang w:val="es-BO" w:eastAsia="es-BO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Inapropiada aplicación de cuenta contable e inadecuado registro del beneficiario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27" w:anchor="_Toc33626924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2.9</w:t>
        </w:r>
        <w:r w:rsidRPr="006F3EFD">
          <w:rPr>
            <w:rFonts w:ascii="Arial Narrow" w:eastAsia="Times New Roman" w:hAnsi="Arial Narrow" w:cs="Times New Roman"/>
            <w:noProof/>
            <w:color w:val="0563C1"/>
            <w:sz w:val="22"/>
            <w:szCs w:val="22"/>
            <w:lang w:val="es-BO" w:eastAsia="es-BO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Deudas por alquileres de Arbitrios Municipales (Exigible) no incorporados en los Registros y Estados Financieros del Gobierno Autónomo Municipal de Sucre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28" w:anchor="_Toc33626934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2.19</w:t>
        </w:r>
        <w:r w:rsidRPr="006F3EFD">
          <w:rPr>
            <w:rFonts w:ascii="Arial Narrow" w:eastAsia="Times New Roman" w:hAnsi="Arial Narrow" w:cs="Times New Roman"/>
            <w:color w:val="0563C1"/>
            <w:sz w:val="22"/>
            <w:szCs w:val="22"/>
            <w:lang w:val="es-BO" w:eastAsia="es-BO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Regularizaciones de Derecho Propietario a favor del Gobierno Autónomo Municipal de Sucre no registrados en la Cuenta 1.2.3.2 Tierras y Terrenos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29" w:anchor="_Toc33626935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2.20</w:t>
        </w:r>
        <w:r w:rsidRPr="006F3EFD">
          <w:rPr>
            <w:rFonts w:ascii="Arial Narrow" w:eastAsia="Times New Roman" w:hAnsi="Arial Narrow" w:cs="Times New Roman"/>
            <w:color w:val="0563C1"/>
            <w:sz w:val="22"/>
            <w:szCs w:val="22"/>
            <w:lang w:val="es-BO" w:eastAsia="es-BO"/>
          </w:rPr>
          <w:t xml:space="preserve"> </w:t>
        </w:r>
        <w:r w:rsidRPr="006F3EFD">
          <w:rPr>
            <w:rFonts w:ascii="Arial Narrow" w:eastAsia="Times New Roman" w:hAnsi="Arial Narrow" w:cs="Times New Roman"/>
            <w:color w:val="0563C1"/>
            <w:sz w:val="22"/>
            <w:szCs w:val="22"/>
            <w:lang w:val="es-BO" w:eastAsia="es-BO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Error de registro en la Cuenta 1.2.3.2 Tierras y Terrenos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30" w:anchor="_Toc33626938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2.23</w:t>
        </w:r>
        <w:r w:rsidRPr="006F3EFD">
          <w:rPr>
            <w:rFonts w:ascii="Arial Narrow" w:eastAsia="Times New Roman" w:hAnsi="Arial Narrow" w:cs="Times New Roman"/>
            <w:color w:val="000000"/>
            <w:sz w:val="22"/>
            <w:szCs w:val="22"/>
            <w:lang w:val="es-BO" w:eastAsia="es-ES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Activos Fijos en Desuso y/o obsoletos no dados de baja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31" w:anchor="_Toc33626939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2.24</w:t>
        </w:r>
        <w:r w:rsidRPr="006F3EFD">
          <w:rPr>
            <w:rFonts w:ascii="Arial Narrow" w:eastAsia="Times New Roman" w:hAnsi="Arial Narrow" w:cs="Times New Roman"/>
            <w:color w:val="000000"/>
            <w:sz w:val="22"/>
            <w:szCs w:val="22"/>
            <w:lang w:val="es-BO" w:eastAsia="es-ES"/>
          </w:rPr>
          <w:t xml:space="preserve"> </w:t>
        </w:r>
        <w:r w:rsidRPr="006F3EFD">
          <w:rPr>
            <w:rFonts w:ascii="Arial Narrow" w:eastAsia="Times New Roman" w:hAnsi="Arial Narrow" w:cs="Times New Roman"/>
            <w:color w:val="000000"/>
            <w:sz w:val="22"/>
            <w:szCs w:val="22"/>
            <w:lang w:val="es-BO" w:eastAsia="es-ES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Inexistencia de Reglamento Interno para las Cuentas por Pagar a Corto Plazo y Largo Plazo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32" w:anchor="_Toc33626941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2.26</w:t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ab/>
          <w:t>Falta de control y seguimiento oportuno de la Cuenta Pasivo a Largo Plazo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33" w:anchor="_Toc33626942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2.27</w:t>
        </w:r>
        <w:r w:rsidRPr="006F3EFD">
          <w:rPr>
            <w:rFonts w:ascii="Arial Narrow" w:eastAsia="Times New Roman" w:hAnsi="Arial Narrow" w:cs="Times New Roman"/>
            <w:color w:val="000000"/>
            <w:sz w:val="22"/>
            <w:szCs w:val="22"/>
            <w:lang w:val="es-BO" w:eastAsia="es-ES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Falta de un Reglamento y/o manual de preparación y remisión de documentación sobre Construcciones en Proceso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34" w:anchor="_Toc33626943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2.28</w:t>
        </w:r>
        <w:r w:rsidRPr="006F3EFD">
          <w:rPr>
            <w:rFonts w:ascii="Arial Narrow" w:eastAsia="Times New Roman" w:hAnsi="Arial Narrow" w:cs="Times New Roman"/>
            <w:color w:val="0563C1"/>
            <w:sz w:val="22"/>
            <w:szCs w:val="22"/>
            <w:lang w:val="es-BO" w:eastAsia="es-BO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Proyectos de Inversión Pública ejecutados de manera directa por la entidad en los cuales faltó coordinación entre las Unidades Ejecutoras y la Secretaria Municipal de Planificación para el Desarrollo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35" w:anchor="_Toc33626946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2.31</w:t>
        </w:r>
        <w:r w:rsidRPr="006F3EFD">
          <w:rPr>
            <w:rFonts w:ascii="Arial Narrow" w:eastAsia="Times New Roman" w:hAnsi="Arial Narrow" w:cs="Times New Roman"/>
            <w:color w:val="000000"/>
            <w:sz w:val="22"/>
            <w:szCs w:val="22"/>
            <w:lang w:val="es-BO" w:eastAsia="es-ES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Algunos instrumentos normativos internos con observación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36" w:anchor="_Toc33626947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2.32</w:t>
        </w:r>
        <w:r w:rsidRPr="006F3EFD">
          <w:rPr>
            <w:rFonts w:ascii="Arial Narrow" w:eastAsia="Times New Roman" w:hAnsi="Arial Narrow" w:cs="Times New Roman"/>
            <w:color w:val="000000"/>
            <w:sz w:val="22"/>
            <w:szCs w:val="22"/>
            <w:lang w:val="es-BO" w:eastAsia="es-ES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La entidad no cuenta con Manual de Puestos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37" w:anchor="_Toc33626949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2.35</w:t>
        </w:r>
        <w:r w:rsidRPr="006F3EFD">
          <w:rPr>
            <w:rFonts w:ascii="Arial Narrow" w:eastAsia="Times New Roman" w:hAnsi="Arial Narrow" w:cs="Times New Roman"/>
            <w:color w:val="000000"/>
            <w:sz w:val="22"/>
            <w:szCs w:val="22"/>
            <w:lang w:val="es-BO" w:eastAsia="es-ES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Recursos por concepto de multas y sanciones correspondientes al Control y Expendio de Bebidas Alcohólicas (Ley Nº 259), pendientes de disposición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38" w:anchor="_Toc33626950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2.36</w:t>
        </w:r>
        <w:r w:rsidRPr="006F3EFD">
          <w:rPr>
            <w:rFonts w:ascii="Arial Narrow" w:eastAsia="Times New Roman" w:hAnsi="Arial Narrow" w:cs="Times New Roman"/>
            <w:color w:val="000000"/>
            <w:sz w:val="22"/>
            <w:szCs w:val="22"/>
            <w:lang w:val="es-BO" w:eastAsia="es-ES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Falta de clasificación adecuada de los recursos generados en el Rubro Tasas y Otros ingresos en el sistema RUAT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39" w:anchor="_Toc33626951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2.37</w:t>
        </w:r>
        <w:r w:rsidRPr="006F3EFD">
          <w:rPr>
            <w:rFonts w:ascii="Arial Narrow" w:eastAsia="Times New Roman" w:hAnsi="Arial Narrow" w:cs="Times New Roman"/>
            <w:color w:val="000000"/>
            <w:sz w:val="22"/>
            <w:szCs w:val="22"/>
            <w:lang w:val="es-BO" w:eastAsia="es-ES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 xml:space="preserve">Falta de seguimiento y evaluación en </w:t>
        </w:r>
        <w:r w:rsidRPr="006F3EFD">
          <w:rPr>
            <w:rFonts w:ascii="Arial Narrow" w:eastAsia="Calibri" w:hAnsi="Arial Narrow" w:cs="Times New Roman"/>
            <w:noProof/>
            <w:color w:val="000000"/>
            <w:sz w:val="22"/>
            <w:szCs w:val="22"/>
            <w:lang w:val="es-BO" w:eastAsia="es-ES"/>
          </w:rPr>
          <w:t xml:space="preserve">la captación </w:t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de recursos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color w:val="000000"/>
          <w:sz w:val="22"/>
          <w:szCs w:val="22"/>
          <w:lang w:val="es-BO" w:eastAsia="es-ES"/>
        </w:rPr>
      </w:pPr>
      <w:hyperlink r:id="rId40" w:anchor="_Toc33626959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2.45</w:t>
        </w:r>
        <w:r w:rsidRPr="006F3EFD">
          <w:rPr>
            <w:rFonts w:ascii="Arial Narrow" w:eastAsia="Times New Roman" w:hAnsi="Arial Narrow" w:cs="Times New Roman"/>
            <w:color w:val="000000"/>
            <w:sz w:val="22"/>
            <w:szCs w:val="22"/>
            <w:lang w:val="es-BO" w:eastAsia="es-ES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Maquinaria y/o equipo pesado que se encuentra fuera de funcionamiento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r w:rsidRPr="006F3EFD"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  <w:t xml:space="preserve"> </w:t>
      </w: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sz w:val="22"/>
          <w:szCs w:val="22"/>
          <w:lang w:val="es-BO" w:eastAsia="es-BO"/>
        </w:rPr>
      </w:pPr>
      <w:r w:rsidRPr="006F3EFD">
        <w:rPr>
          <w:rFonts w:ascii="Arial Narrow" w:eastAsia="Times New Roman" w:hAnsi="Arial Narrow" w:cs="Times New Roman"/>
          <w:b/>
          <w:noProof/>
          <w:sz w:val="22"/>
          <w:szCs w:val="22"/>
          <w:lang w:val="es-BO" w:eastAsia="es-BO"/>
        </w:rPr>
        <w:t>Recomendación No Aplicable</w:t>
      </w: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  <w:lang w:val="es-BO" w:eastAsia="es-ES"/>
        </w:rPr>
      </w:pP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  <w:hyperlink r:id="rId41" w:anchor="_Toc33626953" w:history="1"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2.39</w:t>
        </w:r>
        <w:r w:rsidRPr="006F3EFD">
          <w:rPr>
            <w:rFonts w:ascii="Arial Narrow" w:eastAsia="Times New Roman" w:hAnsi="Arial Narrow" w:cs="Times New Roman"/>
            <w:color w:val="000000"/>
            <w:sz w:val="22"/>
            <w:szCs w:val="22"/>
            <w:lang w:val="es-BO" w:eastAsia="es-ES"/>
          </w:rPr>
          <w:tab/>
        </w:r>
        <w:r w:rsidRPr="006F3EFD">
          <w:rPr>
            <w:rFonts w:ascii="Arial Narrow" w:eastAsia="Times New Roman" w:hAnsi="Arial Narrow" w:cs="Times New Roman"/>
            <w:noProof/>
            <w:color w:val="000000"/>
            <w:sz w:val="22"/>
            <w:szCs w:val="22"/>
            <w:lang w:val="es-BO" w:eastAsia="es-ES"/>
          </w:rPr>
          <w:t>Falta de Reglamento de cobro de multas, sanciones e intereses en el rubro otros ingresos</w:t>
        </w:r>
      </w:hyperlink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sz w:val="22"/>
          <w:szCs w:val="22"/>
          <w:lang w:val="es-BO" w:eastAsia="es-BO"/>
        </w:rPr>
      </w:pPr>
    </w:p>
    <w:p w:rsidR="006F3EFD" w:rsidRPr="006F3EFD" w:rsidRDefault="006F3EFD" w:rsidP="006F3EFD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Times New Roman"/>
          <w:noProof/>
          <w:color w:val="000000"/>
          <w:sz w:val="22"/>
          <w:szCs w:val="22"/>
          <w:u w:val="single"/>
          <w:lang w:val="es-BO" w:eastAsia="es-ES"/>
        </w:rPr>
      </w:pPr>
    </w:p>
    <w:p w:rsidR="006F3EFD" w:rsidRPr="006F3EFD" w:rsidRDefault="006F3EFD" w:rsidP="006F3EFD">
      <w:pPr>
        <w:widowControl w:val="0"/>
        <w:snapToGrid w:val="0"/>
        <w:spacing w:after="0" w:line="240" w:lineRule="auto"/>
        <w:ind w:left="720"/>
        <w:jc w:val="center"/>
        <w:rPr>
          <w:rFonts w:ascii="Arial Narrow" w:eastAsia="Times New Roman" w:hAnsi="Arial Narrow" w:cs="Times New Roman"/>
          <w:noProof/>
          <w:sz w:val="22"/>
          <w:szCs w:val="22"/>
          <w:lang w:val="es-BO" w:eastAsia="es-ES"/>
        </w:rPr>
      </w:pPr>
    </w:p>
    <w:p w:rsidR="006F3EFD" w:rsidRPr="006F3EFD" w:rsidRDefault="006F3EFD" w:rsidP="006F3EFD">
      <w:pPr>
        <w:widowControl w:val="0"/>
        <w:snapToGrid w:val="0"/>
        <w:spacing w:after="0" w:line="240" w:lineRule="auto"/>
        <w:ind w:left="720"/>
        <w:jc w:val="center"/>
        <w:rPr>
          <w:rFonts w:ascii="Arial Narrow" w:eastAsia="Times New Roman" w:hAnsi="Arial Narrow" w:cs="Times New Roman"/>
          <w:noProof/>
          <w:sz w:val="22"/>
          <w:szCs w:val="22"/>
          <w:lang w:val="es-BO" w:eastAsia="es-ES"/>
        </w:rPr>
      </w:pPr>
    </w:p>
    <w:p w:rsidR="008C707D" w:rsidRPr="003C12D7" w:rsidRDefault="006F3EFD" w:rsidP="006F3EFD">
      <w:pPr>
        <w:spacing w:after="0"/>
        <w:ind w:left="851" w:hanging="851"/>
        <w:jc w:val="both"/>
        <w:rPr>
          <w:rFonts w:ascii="Arial Narrow" w:hAnsi="Arial Narrow"/>
          <w:sz w:val="20"/>
          <w:lang w:val="es-ES"/>
        </w:rPr>
      </w:pPr>
      <w:r w:rsidRPr="006F3EFD">
        <w:rPr>
          <w:rFonts w:ascii="Arial Narrow" w:eastAsia="Times New Roman" w:hAnsi="Arial Narrow" w:cs="Times New Roman"/>
          <w:noProof/>
          <w:sz w:val="22"/>
          <w:szCs w:val="22"/>
          <w:lang w:val="es-BO" w:eastAsia="es-ES"/>
        </w:rPr>
        <w:t>Sucre, abril de 2022</w:t>
      </w:r>
      <w:bookmarkStart w:id="9" w:name="_GoBack"/>
      <w:bookmarkEnd w:id="9"/>
    </w:p>
    <w:p w:rsidR="00035035" w:rsidRPr="008C707D" w:rsidRDefault="00035035" w:rsidP="008C707D">
      <w:pPr>
        <w:rPr>
          <w:lang w:val="es-ES"/>
        </w:rPr>
      </w:pPr>
    </w:p>
    <w:sectPr w:rsidR="00035035" w:rsidRPr="008C707D" w:rsidSect="00E749F2"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4272"/>
    <w:multiLevelType w:val="hybridMultilevel"/>
    <w:tmpl w:val="958A4A7C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3E25C4"/>
    <w:multiLevelType w:val="multilevel"/>
    <w:tmpl w:val="56D48F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49DA7BE2"/>
    <w:multiLevelType w:val="hybridMultilevel"/>
    <w:tmpl w:val="C0760C5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25785"/>
    <w:multiLevelType w:val="hybridMultilevel"/>
    <w:tmpl w:val="8B3E673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0B51"/>
    <w:multiLevelType w:val="hybridMultilevel"/>
    <w:tmpl w:val="25A44F26"/>
    <w:lvl w:ilvl="0" w:tplc="565C839A">
      <w:start w:val="1"/>
      <w:numFmt w:val="bullet"/>
      <w:lvlText w:val="-"/>
      <w:lvlJc w:val="left"/>
      <w:pPr>
        <w:ind w:left="785" w:hanging="360"/>
      </w:pPr>
      <w:rPr>
        <w:rFonts w:ascii="Arial Narrow" w:eastAsiaTheme="minorHAnsi" w:hAnsi="Arial Narrow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75A46F47"/>
    <w:multiLevelType w:val="multilevel"/>
    <w:tmpl w:val="DB92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43"/>
    <w:rsid w:val="00035035"/>
    <w:rsid w:val="000B315C"/>
    <w:rsid w:val="00522E43"/>
    <w:rsid w:val="006F3EFD"/>
    <w:rsid w:val="008C707D"/>
    <w:rsid w:val="008C70F7"/>
    <w:rsid w:val="009965E6"/>
    <w:rsid w:val="00D0503A"/>
    <w:rsid w:val="00E749F2"/>
    <w:rsid w:val="00E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F7"/>
    <w:pPr>
      <w:spacing w:line="288" w:lineRule="auto"/>
    </w:pPr>
    <w:rPr>
      <w:rFonts w:eastAsiaTheme="minorEastAsia"/>
      <w:sz w:val="21"/>
      <w:szCs w:val="21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,MAPA,GRÁFICOS,GRAFICO,Viñetas"/>
    <w:basedOn w:val="Normal"/>
    <w:link w:val="PrrafodelistaCar"/>
    <w:uiPriority w:val="34"/>
    <w:qFormat/>
    <w:rsid w:val="00522E43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,MAPA Car,GRÁFICOS Car,GRAFICO Car,Viñetas Car"/>
    <w:link w:val="Prrafodelista"/>
    <w:uiPriority w:val="34"/>
    <w:locked/>
    <w:rsid w:val="00522E43"/>
  </w:style>
  <w:style w:type="character" w:styleId="Hipervnculo">
    <w:name w:val="Hyperlink"/>
    <w:basedOn w:val="Fuentedeprrafopredeter"/>
    <w:uiPriority w:val="99"/>
    <w:unhideWhenUsed/>
    <w:rsid w:val="008C7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F7"/>
    <w:pPr>
      <w:spacing w:line="288" w:lineRule="auto"/>
    </w:pPr>
    <w:rPr>
      <w:rFonts w:eastAsiaTheme="minorEastAsia"/>
      <w:sz w:val="21"/>
      <w:szCs w:val="21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,MAPA,GRÁFICOS,GRAFICO,Viñetas"/>
    <w:basedOn w:val="Normal"/>
    <w:link w:val="PrrafodelistaCar"/>
    <w:uiPriority w:val="34"/>
    <w:qFormat/>
    <w:rsid w:val="00522E43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,MAPA Car,GRÁFICOS Car,GRAFICO Car,Viñetas Car"/>
    <w:link w:val="Prrafodelista"/>
    <w:uiPriority w:val="34"/>
    <w:locked/>
    <w:rsid w:val="00522E43"/>
  </w:style>
  <w:style w:type="character" w:styleId="Hipervnculo">
    <w:name w:val="Hyperlink"/>
    <w:basedOn w:val="Fuentedeprrafopredeter"/>
    <w:uiPriority w:val="99"/>
    <w:unhideWhenUsed/>
    <w:rsid w:val="008C7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UDI\Downloads\RESUMEN-EJECUTIVO-OFICIAL%20(2).docx" TargetMode="External"/><Relationship Id="rId13" Type="http://schemas.openxmlformats.org/officeDocument/2006/relationships/hyperlink" Target="file:///C:\Users\AUDI\Downloads\RESUMEN-EJECUTIVO-OFICIAL%20(2).docx" TargetMode="External"/><Relationship Id="rId18" Type="http://schemas.openxmlformats.org/officeDocument/2006/relationships/hyperlink" Target="file:///C:\Users\AUDI\Downloads\RESUMEN-EJECUTIVO-OFICIAL%20(2).docx" TargetMode="External"/><Relationship Id="rId26" Type="http://schemas.openxmlformats.org/officeDocument/2006/relationships/hyperlink" Target="file:///C:\Users\AUDI\Downloads\RESUMEN-EJECUTIVO-OFICIAL%20(2).docx" TargetMode="External"/><Relationship Id="rId39" Type="http://schemas.openxmlformats.org/officeDocument/2006/relationships/hyperlink" Target="file:///C:\Users\AUDI\Downloads\RESUMEN-EJECUTIVO-OFICIAL%20(2)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AUDI\Downloads\RESUMEN-EJECUTIVO-OFICIAL%20(2).docx" TargetMode="External"/><Relationship Id="rId34" Type="http://schemas.openxmlformats.org/officeDocument/2006/relationships/hyperlink" Target="file:///C:\Users\AUDI\Downloads\RESUMEN-EJECUTIVO-OFICIAL%20(2).docx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AUDI\Downloads\RESUMEN-EJECUTIVO-OFICIAL%20(2).docx" TargetMode="External"/><Relationship Id="rId12" Type="http://schemas.openxmlformats.org/officeDocument/2006/relationships/hyperlink" Target="file:///C:\Users\AUDI\Downloads\RESUMEN-EJECUTIVO-OFICIAL%20(2).docx" TargetMode="External"/><Relationship Id="rId17" Type="http://schemas.openxmlformats.org/officeDocument/2006/relationships/hyperlink" Target="file:///C:\Users\AUDI\Downloads\RESUMEN-EJECUTIVO-OFICIAL%20(2).docx" TargetMode="External"/><Relationship Id="rId25" Type="http://schemas.openxmlformats.org/officeDocument/2006/relationships/hyperlink" Target="file:///C:\Users\AUDI\Downloads\RESUMEN-EJECUTIVO-OFICIAL%20(2).docx" TargetMode="External"/><Relationship Id="rId33" Type="http://schemas.openxmlformats.org/officeDocument/2006/relationships/hyperlink" Target="file:///C:\Users\AUDI\Downloads\RESUMEN-EJECUTIVO-OFICIAL%20(2).docx" TargetMode="External"/><Relationship Id="rId38" Type="http://schemas.openxmlformats.org/officeDocument/2006/relationships/hyperlink" Target="file:///C:\Users\AUDI\Downloads\RESUMEN-EJECUTIVO-OFICIAL%20(2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UDI\Downloads\RESUMEN-EJECUTIVO-OFICIAL%20(2).docx" TargetMode="External"/><Relationship Id="rId20" Type="http://schemas.openxmlformats.org/officeDocument/2006/relationships/hyperlink" Target="file:///C:\Users\AUDI\Downloads\RESUMEN-EJECUTIVO-OFICIAL%20(2).docx" TargetMode="External"/><Relationship Id="rId29" Type="http://schemas.openxmlformats.org/officeDocument/2006/relationships/hyperlink" Target="file:///C:\Users\AUDI\Downloads\RESUMEN-EJECUTIVO-OFICIAL%20(2).docx" TargetMode="External"/><Relationship Id="rId41" Type="http://schemas.openxmlformats.org/officeDocument/2006/relationships/hyperlink" Target="file:///C:\Users\AUDI\Downloads\RESUMEN-EJECUTIVO-OFICIAL%20(2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UDI\Downloads\RESUMEN-EJECUTIVO-OFICIAL%20(2).docx" TargetMode="External"/><Relationship Id="rId11" Type="http://schemas.openxmlformats.org/officeDocument/2006/relationships/hyperlink" Target="file:///C:\Users\AUDI\Downloads\RESUMEN-EJECUTIVO-OFICIAL%20(2).docx" TargetMode="External"/><Relationship Id="rId24" Type="http://schemas.openxmlformats.org/officeDocument/2006/relationships/hyperlink" Target="file:///C:\Users\AUDI\Downloads\RESUMEN-EJECUTIVO-OFICIAL%20(2).docx" TargetMode="External"/><Relationship Id="rId32" Type="http://schemas.openxmlformats.org/officeDocument/2006/relationships/hyperlink" Target="file:///C:\Users\AUDI\Downloads\RESUMEN-EJECUTIVO-OFICIAL%20(2).docx" TargetMode="External"/><Relationship Id="rId37" Type="http://schemas.openxmlformats.org/officeDocument/2006/relationships/hyperlink" Target="file:///C:\Users\AUDI\Downloads\RESUMEN-EJECUTIVO-OFICIAL%20(2).docx" TargetMode="External"/><Relationship Id="rId40" Type="http://schemas.openxmlformats.org/officeDocument/2006/relationships/hyperlink" Target="file:///C:\Users\AUDI\Downloads\RESUMEN-EJECUTIVO-OFICIAL%20(2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UDI\Downloads\RESUMEN-EJECUTIVO-OFICIAL%20(2).docx" TargetMode="External"/><Relationship Id="rId23" Type="http://schemas.openxmlformats.org/officeDocument/2006/relationships/hyperlink" Target="file:///C:\Users\AUDI\Downloads\RESUMEN-EJECUTIVO-OFICIAL%20(2).docx" TargetMode="External"/><Relationship Id="rId28" Type="http://schemas.openxmlformats.org/officeDocument/2006/relationships/hyperlink" Target="file:///C:\Users\AUDI\Downloads\RESUMEN-EJECUTIVO-OFICIAL%20(2).docx" TargetMode="External"/><Relationship Id="rId36" Type="http://schemas.openxmlformats.org/officeDocument/2006/relationships/hyperlink" Target="file:///C:\Users\AUDI\Downloads\RESUMEN-EJECUTIVO-OFICIAL%20(2).docx" TargetMode="External"/><Relationship Id="rId10" Type="http://schemas.openxmlformats.org/officeDocument/2006/relationships/hyperlink" Target="file:///C:\Users\AUDI\Downloads\RESUMEN-EJECUTIVO-OFICIAL%20(2).docx" TargetMode="External"/><Relationship Id="rId19" Type="http://schemas.openxmlformats.org/officeDocument/2006/relationships/hyperlink" Target="file:///C:\Users\AUDI\Downloads\RESUMEN-EJECUTIVO-OFICIAL%20(2).docx" TargetMode="External"/><Relationship Id="rId31" Type="http://schemas.openxmlformats.org/officeDocument/2006/relationships/hyperlink" Target="file:///C:\Users\AUDI\Downloads\RESUMEN-EJECUTIVO-OFICIAL%20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UDI\Downloads\RESUMEN-EJECUTIVO-OFICIAL%20(2).docx" TargetMode="External"/><Relationship Id="rId14" Type="http://schemas.openxmlformats.org/officeDocument/2006/relationships/hyperlink" Target="file:///C:\Users\AUDI\Downloads\RESUMEN-EJECUTIVO-OFICIAL%20(2).docx" TargetMode="External"/><Relationship Id="rId22" Type="http://schemas.openxmlformats.org/officeDocument/2006/relationships/hyperlink" Target="file:///C:\Users\AUDI\Downloads\RESUMEN-EJECUTIVO-OFICIAL%20(2).docx" TargetMode="External"/><Relationship Id="rId27" Type="http://schemas.openxmlformats.org/officeDocument/2006/relationships/hyperlink" Target="file:///C:\Users\AUDI\Downloads\RESUMEN-EJECUTIVO-OFICIAL%20(2).docx" TargetMode="External"/><Relationship Id="rId30" Type="http://schemas.openxmlformats.org/officeDocument/2006/relationships/hyperlink" Target="file:///C:\Users\AUDI\Downloads\RESUMEN-EJECUTIVO-OFICIAL%20(2).docx" TargetMode="External"/><Relationship Id="rId35" Type="http://schemas.openxmlformats.org/officeDocument/2006/relationships/hyperlink" Target="file:///C:\Users\AUDI\Downloads\RESUMEN-EJECUTIVO-OFICIAL%20(2)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1480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2022-06-15T13:41:00Z</dcterms:created>
  <dcterms:modified xsi:type="dcterms:W3CDTF">2022-06-15T13:41:00Z</dcterms:modified>
</cp:coreProperties>
</file>