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01" w:rsidRPr="007F6101" w:rsidRDefault="007F6101" w:rsidP="007F6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 w:eastAsia="es-ES"/>
        </w:rPr>
      </w:pPr>
      <w:bookmarkStart w:id="0" w:name="_GoBack"/>
      <w:r w:rsidRPr="007F6101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 w:eastAsia="es-ES"/>
        </w:rPr>
        <w:t>DIRECCION DE AUDITORIA INTERNA</w:t>
      </w:r>
    </w:p>
    <w:p w:rsidR="007F6101" w:rsidRPr="007F6101" w:rsidRDefault="007F6101" w:rsidP="007F6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2"/>
          <w:lang w:val="es-ES" w:eastAsia="es-ES"/>
        </w:rPr>
      </w:pPr>
      <w:r w:rsidRPr="007F6101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val="es-ES" w:eastAsia="es-ES"/>
        </w:rPr>
        <w:t>RESUMEN EJECUTIVO</w:t>
      </w:r>
    </w:p>
    <w:p w:rsidR="007F6101" w:rsidRPr="007F6101" w:rsidRDefault="007F6101" w:rsidP="007F6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 w:eastAsia="es-ES"/>
        </w:rPr>
      </w:pPr>
    </w:p>
    <w:bookmarkEnd w:id="0"/>
    <w:p w:rsidR="007F6101" w:rsidRPr="007F6101" w:rsidRDefault="007F6101" w:rsidP="007F6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7F6101" w:rsidRPr="007F6101" w:rsidRDefault="007F6101" w:rsidP="007F6101">
      <w:pPr>
        <w:widowControl w:val="0"/>
        <w:numPr>
          <w:ilvl w:val="0"/>
          <w:numId w:val="7"/>
        </w:numPr>
        <w:snapToGrid w:val="0"/>
        <w:spacing w:after="0" w:line="240" w:lineRule="auto"/>
        <w:ind w:left="284" w:hanging="295"/>
        <w:contextualSpacing/>
        <w:jc w:val="both"/>
        <w:outlineLvl w:val="0"/>
        <w:rPr>
          <w:rFonts w:ascii="Arial Narrow" w:eastAsia="Calibri" w:hAnsi="Arial Narrow" w:cs="Courier New"/>
          <w:b/>
          <w:sz w:val="22"/>
          <w:szCs w:val="22"/>
          <w:lang w:val="en-US" w:eastAsia="es-ES"/>
        </w:rPr>
      </w:pPr>
      <w:r w:rsidRPr="007F6101">
        <w:rPr>
          <w:rFonts w:ascii="Arial Narrow" w:eastAsia="Times New Roman" w:hAnsi="Arial Narrow" w:cs="Courier New"/>
          <w:b/>
          <w:sz w:val="22"/>
          <w:szCs w:val="22"/>
          <w:lang w:val="en-US" w:eastAsia="es-ES"/>
        </w:rPr>
        <w:t>ANTECEDENTES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Courier New"/>
          <w:b/>
          <w:sz w:val="22"/>
          <w:szCs w:val="22"/>
          <w:lang w:val="en-US" w:eastAsia="es-ES"/>
        </w:rPr>
      </w:pPr>
    </w:p>
    <w:p w:rsidR="007F6101" w:rsidRPr="007F6101" w:rsidRDefault="007F6101" w:rsidP="007F610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2"/>
          <w:szCs w:val="22"/>
          <w:lang w:val="es-ES" w:eastAsia="es-ES"/>
        </w:rPr>
      </w:pPr>
      <w:r w:rsidRPr="007F6101">
        <w:rPr>
          <w:rFonts w:ascii="Arial Narrow" w:eastAsia="Times New Roman" w:hAnsi="Arial Narrow" w:cs="Courier New"/>
          <w:sz w:val="22"/>
          <w:szCs w:val="22"/>
          <w:lang w:val="es-ES_tradnl" w:eastAsia="es-ES"/>
        </w:rPr>
        <w:t xml:space="preserve">En cumplimiento al POA gestión 2020 de la Dirección de Auditoría Interna del Gobierno Municipal de Sucre, y Comunicación Interna  Cite </w:t>
      </w:r>
      <w:r w:rsidRPr="007F6101">
        <w:rPr>
          <w:rFonts w:ascii="Arial Narrow" w:eastAsia="Times New Roman" w:hAnsi="Arial Narrow" w:cs="Courier New"/>
          <w:b/>
          <w:sz w:val="22"/>
          <w:szCs w:val="22"/>
          <w:lang w:val="es-ES_tradnl" w:eastAsia="es-ES"/>
        </w:rPr>
        <w:t xml:space="preserve"> Nº </w:t>
      </w:r>
      <w:r w:rsidRPr="007F6101">
        <w:rPr>
          <w:rFonts w:ascii="Arial Narrow" w:eastAsia="Times New Roman" w:hAnsi="Arial Narrow" w:cs="Courier New"/>
          <w:b/>
          <w:color w:val="262626"/>
          <w:sz w:val="22"/>
          <w:szCs w:val="22"/>
          <w:lang w:val="es-ES_tradnl" w:eastAsia="es-ES"/>
        </w:rPr>
        <w:t>190/2021</w:t>
      </w:r>
      <w:r w:rsidRPr="007F6101">
        <w:rPr>
          <w:rFonts w:ascii="Arial Narrow" w:eastAsia="Times New Roman" w:hAnsi="Arial Narrow" w:cs="Courier New"/>
          <w:b/>
          <w:sz w:val="22"/>
          <w:szCs w:val="22"/>
          <w:lang w:val="es-ES_tradnl" w:eastAsia="es-ES"/>
        </w:rPr>
        <w:t xml:space="preserve"> </w:t>
      </w:r>
      <w:r w:rsidRPr="007F6101">
        <w:rPr>
          <w:rFonts w:ascii="Arial Narrow" w:eastAsia="Times New Roman" w:hAnsi="Arial Narrow" w:cs="Courier New"/>
          <w:sz w:val="22"/>
          <w:szCs w:val="22"/>
          <w:lang w:val="es-ES_tradnl" w:eastAsia="es-ES"/>
        </w:rPr>
        <w:t>de fecha</w:t>
      </w:r>
      <w:r w:rsidRPr="007F6101">
        <w:rPr>
          <w:rFonts w:ascii="Arial Narrow" w:eastAsia="Times New Roman" w:hAnsi="Arial Narrow" w:cs="Courier New"/>
          <w:b/>
          <w:sz w:val="22"/>
          <w:szCs w:val="22"/>
          <w:lang w:val="es-ES_tradnl" w:eastAsia="es-ES"/>
        </w:rPr>
        <w:t xml:space="preserve"> 11  </w:t>
      </w:r>
      <w:r w:rsidRPr="007F6101">
        <w:rPr>
          <w:rFonts w:ascii="Arial Narrow" w:eastAsia="Times New Roman" w:hAnsi="Arial Narrow" w:cs="Courier New"/>
          <w:sz w:val="22"/>
          <w:szCs w:val="22"/>
          <w:lang w:val="es-ES_tradnl" w:eastAsia="es-ES"/>
        </w:rPr>
        <w:t>de noviembre  de 2021, la cual instruye la ejecución del seguimiento al cumplimiento de las recomendaciones expuestas en el Informe INF.</w:t>
      </w:r>
      <w:r w:rsidRPr="007F6101">
        <w:rPr>
          <w:rFonts w:ascii="Arial Narrow" w:eastAsia="Times New Roman" w:hAnsi="Arial Narrow" w:cs="Courier New"/>
          <w:b/>
          <w:color w:val="262626"/>
          <w:sz w:val="22"/>
          <w:szCs w:val="22"/>
          <w:lang w:val="es-ES" w:eastAsia="es-ES"/>
        </w:rPr>
        <w:t xml:space="preserve"> D.A.I. 05/2021 “</w:t>
      </w:r>
      <w:r w:rsidRPr="007F6101">
        <w:rPr>
          <w:rFonts w:ascii="Arial Narrow" w:eastAsia="Times New Roman" w:hAnsi="Arial Narrow" w:cs="Courier New"/>
          <w:b/>
          <w:color w:val="000000"/>
          <w:sz w:val="22"/>
          <w:szCs w:val="22"/>
          <w:lang w:val="es-BO" w:eastAsia="es-ES"/>
        </w:rPr>
        <w:t xml:space="preserve">AUDITORÍA DE CONFIABILIDAD DE LOS REGISTROS Y ESTADOS FINANCIEROS DEL GOBIERNO AUTÓNOMO MUNICIPAL DE SUCRE CORRESPONDIENTE A LA GESTIÓN 2020” (Control Interno) y </w:t>
      </w:r>
      <w:r w:rsidRPr="007F6101">
        <w:rPr>
          <w:rFonts w:ascii="Arial Narrow" w:eastAsia="Times New Roman" w:hAnsi="Arial Narrow" w:cs="Times New Roman"/>
          <w:sz w:val="22"/>
          <w:szCs w:val="22"/>
          <w:lang w:val="es-ES" w:eastAsia="es-ES"/>
        </w:rPr>
        <w:t xml:space="preserve">en aplicación de la Resolución N° CGR-1/010/97 emitido por la Contraloría General del Estado;  Artículo Primero que indica: </w:t>
      </w:r>
      <w:r w:rsidRPr="007F6101">
        <w:rPr>
          <w:rFonts w:ascii="Arial Narrow" w:eastAsia="Times New Roman" w:hAnsi="Arial Narrow" w:cs="Times New Roman"/>
          <w:i/>
          <w:sz w:val="22"/>
          <w:szCs w:val="22"/>
          <w:lang w:val="es-ES" w:eastAsia="es-ES"/>
        </w:rPr>
        <w:t>”Las Unidades de Auditoria Interna de cada Entidad Publica deben efectuar exámenes específicos de seguimiento al cumplimiento de las recomendaciones, emergentes de sus propios informes y de las auditorias que se practiquen en dichas entidades…”</w:t>
      </w:r>
      <w:r w:rsidRPr="007F6101">
        <w:rPr>
          <w:rFonts w:ascii="Arial Narrow" w:eastAsia="Times New Roman" w:hAnsi="Arial Narrow" w:cs="Times New Roman"/>
          <w:sz w:val="22"/>
          <w:szCs w:val="22"/>
          <w:lang w:val="es-ES" w:eastAsia="es-ES"/>
        </w:rPr>
        <w:t>, se emite el presente informe.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Courier New"/>
          <w:sz w:val="22"/>
          <w:szCs w:val="22"/>
          <w:lang w:val="es-BO" w:eastAsia="es-ES"/>
        </w:rPr>
      </w:pPr>
    </w:p>
    <w:p w:rsidR="007F6101" w:rsidRPr="007F6101" w:rsidRDefault="007F6101" w:rsidP="007F6101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Courier New"/>
          <w:sz w:val="22"/>
          <w:szCs w:val="22"/>
          <w:lang w:val="es-BO" w:eastAsia="es-ES"/>
        </w:rPr>
      </w:pPr>
      <w:r w:rsidRPr="007F6101">
        <w:rPr>
          <w:rFonts w:ascii="Arial Narrow" w:eastAsia="Times New Roman" w:hAnsi="Arial Narrow" w:cs="Courier New"/>
          <w:sz w:val="22"/>
          <w:szCs w:val="22"/>
          <w:lang w:val="es-BO" w:eastAsia="es-BO"/>
        </w:rPr>
        <w:t>Los Formatos 1 y 2 sobre la aceptación y cronograma para su respectiva implantación fueron remitidos a la Dirección de Auditoría Interna, el 16</w:t>
      </w:r>
      <w:r w:rsidRPr="007F6101">
        <w:rPr>
          <w:rFonts w:ascii="Arial Narrow" w:eastAsia="Calibri" w:hAnsi="Arial Narrow" w:cs="Courier New"/>
          <w:sz w:val="22"/>
          <w:szCs w:val="22"/>
          <w:lang w:val="es-BO" w:eastAsia="es-ES"/>
        </w:rPr>
        <w:t xml:space="preserve"> de noviembre de 2021 mediante nota E. GAMS-CGE/SMAF CITE N° 169/2021, por la Secretaria Municipal Administrativa Financiera.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/>
        <w:jc w:val="both"/>
        <w:rPr>
          <w:rFonts w:ascii="Arial Narrow" w:eastAsia="Calibri" w:hAnsi="Arial Narrow" w:cs="Courier New"/>
          <w:sz w:val="22"/>
          <w:szCs w:val="22"/>
          <w:lang w:val="es-BO" w:eastAsia="es-ES"/>
        </w:rPr>
      </w:pPr>
    </w:p>
    <w:p w:rsidR="007F6101" w:rsidRPr="007F6101" w:rsidRDefault="007F6101" w:rsidP="007F6101">
      <w:pPr>
        <w:widowControl w:val="0"/>
        <w:numPr>
          <w:ilvl w:val="1"/>
          <w:numId w:val="4"/>
        </w:numPr>
        <w:snapToGrid w:val="0"/>
        <w:spacing w:after="0" w:line="240" w:lineRule="auto"/>
        <w:contextualSpacing/>
        <w:jc w:val="both"/>
        <w:outlineLvl w:val="0"/>
        <w:rPr>
          <w:rFonts w:ascii="Arial Narrow" w:eastAsia="Calibri" w:hAnsi="Arial Narrow" w:cs="Courier New"/>
          <w:b/>
          <w:sz w:val="22"/>
          <w:szCs w:val="22"/>
          <w:lang w:val="en-US" w:eastAsia="es-ES"/>
        </w:rPr>
      </w:pPr>
      <w:r w:rsidRPr="007F6101">
        <w:rPr>
          <w:rFonts w:ascii="Arial Narrow" w:eastAsia="Calibri" w:hAnsi="Arial Narrow" w:cs="Courier New"/>
          <w:b/>
          <w:sz w:val="22"/>
          <w:szCs w:val="22"/>
          <w:lang w:val="es-BO" w:eastAsia="es-ES"/>
        </w:rPr>
        <w:t>Objetivo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1134"/>
        <w:jc w:val="both"/>
        <w:rPr>
          <w:rFonts w:ascii="Arial Narrow" w:eastAsia="Calibri" w:hAnsi="Arial Narrow" w:cs="Courier New"/>
          <w:b/>
          <w:sz w:val="22"/>
          <w:szCs w:val="22"/>
          <w:lang w:val="en-US" w:eastAsia="es-ES"/>
        </w:rPr>
      </w:pPr>
    </w:p>
    <w:p w:rsidR="007F6101" w:rsidRPr="007F6101" w:rsidRDefault="007F6101" w:rsidP="007F6101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Courier New"/>
          <w:sz w:val="22"/>
          <w:szCs w:val="22"/>
          <w:lang w:val="es-BO" w:eastAsia="es-ES"/>
        </w:rPr>
      </w:pPr>
      <w:r w:rsidRPr="007F6101">
        <w:rPr>
          <w:rFonts w:ascii="Arial Narrow" w:eastAsia="Times New Roman" w:hAnsi="Arial Narrow" w:cs="Courier New"/>
          <w:sz w:val="22"/>
          <w:szCs w:val="22"/>
          <w:lang w:val="es-BO" w:eastAsia="es-ES"/>
        </w:rPr>
        <w:t>El objetivo del seguimiento es determinar el cumplimiento de las recomendaciones contenidas en el informe INF.D.A.I. N° 05/2021 “Auditoria sobre la Confiabilidad de los Registros y Estados Financieros del Gobierno Autónomo Municipal de Sucre correspondiente a la gestión 2020”, las cuales fueron aceptadas en su totalidad de acuerdo al Formato N° 1 (Aceptación de recomendaciones).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708"/>
        <w:jc w:val="both"/>
        <w:rPr>
          <w:rFonts w:ascii="Arial Narrow" w:eastAsia="Calibri" w:hAnsi="Arial Narrow" w:cs="Courier New"/>
          <w:b/>
          <w:sz w:val="22"/>
          <w:szCs w:val="22"/>
          <w:lang w:val="es-BO" w:eastAsia="es-ES"/>
        </w:rPr>
      </w:pPr>
    </w:p>
    <w:p w:rsidR="007F6101" w:rsidRPr="007F6101" w:rsidRDefault="007F6101" w:rsidP="007F6101">
      <w:pPr>
        <w:widowControl w:val="0"/>
        <w:numPr>
          <w:ilvl w:val="1"/>
          <w:numId w:val="4"/>
        </w:numPr>
        <w:snapToGrid w:val="0"/>
        <w:spacing w:after="0" w:line="240" w:lineRule="auto"/>
        <w:contextualSpacing/>
        <w:jc w:val="both"/>
        <w:outlineLvl w:val="0"/>
        <w:rPr>
          <w:rFonts w:ascii="Arial Narrow" w:eastAsia="Calibri" w:hAnsi="Arial Narrow" w:cs="Courier New"/>
          <w:b/>
          <w:sz w:val="22"/>
          <w:szCs w:val="22"/>
          <w:lang w:val="en-US" w:eastAsia="es-ES"/>
        </w:rPr>
      </w:pPr>
      <w:proofErr w:type="spellStart"/>
      <w:r w:rsidRPr="007F6101">
        <w:rPr>
          <w:rFonts w:ascii="Arial Narrow" w:eastAsia="Calibri" w:hAnsi="Arial Narrow" w:cs="Courier New"/>
          <w:b/>
          <w:sz w:val="22"/>
          <w:szCs w:val="22"/>
          <w:lang w:val="en-US" w:eastAsia="es-ES"/>
        </w:rPr>
        <w:t>Objeto</w:t>
      </w:r>
      <w:proofErr w:type="spellEnd"/>
      <w:r w:rsidRPr="007F6101">
        <w:rPr>
          <w:rFonts w:ascii="Arial Narrow" w:eastAsia="Calibri" w:hAnsi="Arial Narrow" w:cs="Courier New"/>
          <w:b/>
          <w:sz w:val="22"/>
          <w:szCs w:val="22"/>
          <w:lang w:val="en-US" w:eastAsia="es-ES"/>
        </w:rPr>
        <w:t xml:space="preserve"> 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708"/>
        <w:jc w:val="both"/>
        <w:rPr>
          <w:rFonts w:ascii="Arial Narrow" w:eastAsia="Calibri" w:hAnsi="Arial Narrow" w:cs="Courier New"/>
          <w:b/>
          <w:sz w:val="22"/>
          <w:szCs w:val="22"/>
          <w:lang w:val="en-US" w:eastAsia="es-ES"/>
        </w:rPr>
      </w:pPr>
    </w:p>
    <w:p w:rsidR="007F6101" w:rsidRPr="007F6101" w:rsidRDefault="007F6101" w:rsidP="007F6101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Courier New"/>
          <w:sz w:val="22"/>
          <w:szCs w:val="22"/>
          <w:lang w:val="es-BO" w:eastAsia="es-BO"/>
        </w:rPr>
      </w:pPr>
      <w:r w:rsidRPr="007F6101">
        <w:rPr>
          <w:rFonts w:ascii="Arial Narrow" w:eastAsia="Times New Roman" w:hAnsi="Arial Narrow" w:cs="Courier New"/>
          <w:sz w:val="22"/>
          <w:szCs w:val="22"/>
          <w:lang w:val="es-BO" w:eastAsia="es-BO"/>
        </w:rPr>
        <w:t>El objeto del seguimiento está constituido por la siguiente documentación e información: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Courier New"/>
          <w:sz w:val="22"/>
          <w:szCs w:val="22"/>
          <w:lang w:val="es-BO" w:eastAsia="es-BO"/>
        </w:rPr>
      </w:pPr>
    </w:p>
    <w:p w:rsidR="007F6101" w:rsidRPr="007F6101" w:rsidRDefault="007F6101" w:rsidP="007F6101">
      <w:pPr>
        <w:widowControl w:val="0"/>
        <w:numPr>
          <w:ilvl w:val="0"/>
          <w:numId w:val="6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sz w:val="22"/>
          <w:szCs w:val="22"/>
          <w:lang w:val="es-BO" w:eastAsia="es-BO"/>
        </w:rPr>
      </w:pPr>
      <w:r w:rsidRPr="007F6101">
        <w:rPr>
          <w:rFonts w:ascii="Arial Narrow" w:eastAsia="Times New Roman" w:hAnsi="Arial Narrow" w:cs="Courier New"/>
          <w:sz w:val="22"/>
          <w:szCs w:val="22"/>
          <w:lang w:val="es-BO" w:eastAsia="es-BO"/>
        </w:rPr>
        <w:t>Informe de Auditoría INF. D.A.I. N° 05/2021, Auditoria de Confiabilidad de Registros y Estados Financieros gestión 2020 (Control Interno)</w:t>
      </w:r>
    </w:p>
    <w:p w:rsidR="007F6101" w:rsidRPr="007F6101" w:rsidRDefault="007F6101" w:rsidP="007F6101">
      <w:pPr>
        <w:widowControl w:val="0"/>
        <w:numPr>
          <w:ilvl w:val="0"/>
          <w:numId w:val="6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sz w:val="22"/>
          <w:szCs w:val="22"/>
          <w:lang w:val="es-BO" w:eastAsia="es-BO"/>
        </w:rPr>
      </w:pPr>
      <w:r w:rsidRPr="007F6101">
        <w:rPr>
          <w:rFonts w:ascii="Arial Narrow" w:eastAsia="Times New Roman" w:hAnsi="Arial Narrow" w:cs="Courier New"/>
          <w:sz w:val="22"/>
          <w:szCs w:val="22"/>
          <w:lang w:val="es-BO" w:eastAsia="es-BO"/>
        </w:rPr>
        <w:t xml:space="preserve">Los Formatos 1 y 2 sobre la aceptación y el cronograma para su respectiva implantación. </w:t>
      </w:r>
    </w:p>
    <w:p w:rsidR="007F6101" w:rsidRPr="007F6101" w:rsidRDefault="007F6101" w:rsidP="007F6101">
      <w:pPr>
        <w:widowControl w:val="0"/>
        <w:numPr>
          <w:ilvl w:val="0"/>
          <w:numId w:val="6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sz w:val="22"/>
          <w:szCs w:val="22"/>
          <w:lang w:val="es-BO" w:eastAsia="es-BO"/>
        </w:rPr>
      </w:pPr>
      <w:r w:rsidRPr="007F6101">
        <w:rPr>
          <w:rFonts w:ascii="Arial Narrow" w:eastAsia="Times New Roman" w:hAnsi="Arial Narrow" w:cs="Courier New"/>
          <w:sz w:val="22"/>
          <w:szCs w:val="22"/>
          <w:lang w:val="es-BO" w:eastAsia="es-BO"/>
        </w:rPr>
        <w:t>Instructivos para el cumplimiento de las recomendaciones</w:t>
      </w:r>
    </w:p>
    <w:p w:rsidR="007F6101" w:rsidRPr="007F6101" w:rsidRDefault="007F6101" w:rsidP="007F6101">
      <w:pPr>
        <w:widowControl w:val="0"/>
        <w:numPr>
          <w:ilvl w:val="0"/>
          <w:numId w:val="6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sz w:val="22"/>
          <w:szCs w:val="22"/>
          <w:lang w:val="es-BO" w:eastAsia="es-BO"/>
        </w:rPr>
      </w:pPr>
      <w:r w:rsidRPr="007F6101">
        <w:rPr>
          <w:rFonts w:ascii="Arial Narrow" w:eastAsia="Times New Roman" w:hAnsi="Arial Narrow" w:cs="Courier New"/>
          <w:sz w:val="22"/>
          <w:szCs w:val="22"/>
          <w:lang w:val="es-BO" w:eastAsia="es-BO"/>
        </w:rPr>
        <w:t>Informes generados por las áreas auditadas.</w:t>
      </w:r>
    </w:p>
    <w:p w:rsidR="007F6101" w:rsidRPr="007F6101" w:rsidRDefault="007F6101" w:rsidP="007F6101">
      <w:pPr>
        <w:widowControl w:val="0"/>
        <w:numPr>
          <w:ilvl w:val="0"/>
          <w:numId w:val="6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sz w:val="22"/>
          <w:szCs w:val="22"/>
          <w:lang w:val="es-ES" w:eastAsia="es-ES"/>
        </w:rPr>
      </w:pPr>
      <w:r w:rsidRPr="007F6101">
        <w:rPr>
          <w:rFonts w:ascii="Arial Narrow" w:eastAsia="Times New Roman" w:hAnsi="Arial Narrow" w:cs="Courier New"/>
          <w:sz w:val="22"/>
          <w:szCs w:val="22"/>
          <w:lang w:val="es-BO" w:eastAsia="es-BO"/>
        </w:rPr>
        <w:t>Otra documentación e información relacionada con las recomendaciones sujetas a seguimiento.</w:t>
      </w:r>
    </w:p>
    <w:p w:rsidR="007F6101" w:rsidRPr="007F6101" w:rsidRDefault="007F6101" w:rsidP="007F6101">
      <w:pPr>
        <w:spacing w:after="0" w:line="240" w:lineRule="auto"/>
        <w:ind w:left="426"/>
        <w:contextualSpacing/>
        <w:jc w:val="both"/>
        <w:rPr>
          <w:rFonts w:ascii="Arial Narrow" w:eastAsia="Times New Roman" w:hAnsi="Arial Narrow" w:cs="Courier New"/>
          <w:sz w:val="22"/>
          <w:szCs w:val="22"/>
          <w:lang w:val="es-ES" w:eastAsia="es-ES"/>
        </w:rPr>
      </w:pP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/>
        <w:jc w:val="both"/>
        <w:rPr>
          <w:rFonts w:ascii="Arial Narrow" w:eastAsia="Times New Roman" w:hAnsi="Arial Narrow" w:cs="Courier New"/>
          <w:b/>
          <w:sz w:val="24"/>
          <w:szCs w:val="20"/>
          <w:lang w:val="es-BO" w:eastAsia="es-BO"/>
        </w:rPr>
      </w:pPr>
      <w:r w:rsidRPr="007F6101">
        <w:rPr>
          <w:rFonts w:ascii="Arial Narrow" w:eastAsia="Times New Roman" w:hAnsi="Arial Narrow" w:cs="Courier New"/>
          <w:b/>
          <w:sz w:val="24"/>
          <w:szCs w:val="20"/>
          <w:lang w:val="es-ES" w:eastAsia="es-BO"/>
        </w:rPr>
        <w:t>RESULTADO DEL SEGUIMIENTO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/>
        <w:jc w:val="both"/>
        <w:rPr>
          <w:rFonts w:ascii="Arial Narrow" w:eastAsia="Times New Roman" w:hAnsi="Arial Narrow" w:cs="Courier New"/>
          <w:b/>
          <w:sz w:val="24"/>
          <w:szCs w:val="20"/>
          <w:lang w:val="es-ES" w:eastAsia="en-US"/>
        </w:rPr>
      </w:pPr>
      <w:r w:rsidRPr="007F6101">
        <w:rPr>
          <w:rFonts w:ascii="Arial Narrow" w:eastAsia="Times New Roman" w:hAnsi="Arial Narrow" w:cs="Courier New"/>
          <w:b/>
          <w:sz w:val="24"/>
          <w:szCs w:val="20"/>
          <w:lang w:val="es-ES" w:eastAsia="es-BO"/>
        </w:rPr>
        <w:t xml:space="preserve"> 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 w:hanging="66"/>
        <w:jc w:val="both"/>
        <w:rPr>
          <w:rFonts w:ascii="Arial Narrow" w:eastAsia="Times New Roman" w:hAnsi="Arial Narrow" w:cs="Times New Roman"/>
          <w:sz w:val="24"/>
          <w:szCs w:val="20"/>
          <w:lang w:val="es-BO" w:eastAsia="es-ES"/>
        </w:rPr>
      </w:pPr>
      <w:r w:rsidRPr="007F6101">
        <w:rPr>
          <w:rFonts w:ascii="Arial Narrow" w:eastAsia="Times New Roman" w:hAnsi="Arial Narrow" w:cs="Times New Roman"/>
          <w:b/>
          <w:sz w:val="24"/>
          <w:szCs w:val="20"/>
          <w:u w:val="single"/>
          <w:lang w:val="es-ES" w:eastAsia="es-ES"/>
        </w:rPr>
        <w:t>Recomendaciones Cumplidas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 w:hanging="66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  <w:t xml:space="preserve"> R.1.   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 xml:space="preserve">Devolución de Recursos Económicos que tuvieron que ser devueltos a la Cuenta 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>Única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 xml:space="preserve"> del Tesoro.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 w:hanging="66"/>
        <w:jc w:val="both"/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</w:pPr>
      <w:r w:rsidRPr="007F6101"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  <w:t xml:space="preserve"> R.2.   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>Cheques Anulados que no Cuentan con la Leyenda de Anulado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 w:hanging="66"/>
        <w:jc w:val="both"/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</w:pPr>
      <w:r w:rsidRPr="007F6101"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  <w:t xml:space="preserve"> R.8.   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>Sub Almacenes No Considerados en el SIGMA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  <w:t xml:space="preserve"> R.9.   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>No se tiene como Práctica la Definición de Stock de Máximos y Mínimos de los Artículos en el Almacén Central y los SUB Almacenes como Política de Gestión de Existencias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 w:hanging="66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  <w:t xml:space="preserve"> R.12. 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>Activos Asignados a Servidores Públicos, sin Codificación y Control de su Ubicación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 w:hanging="66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  <w:t xml:space="preserve"> R.28.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 xml:space="preserve"> Inexistencia de una Base de Datos de las Actividades Económicas en el Municipio de Sucre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 w:hanging="66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  <w:t xml:space="preserve"> R.30. 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>Falta de Consistencia de Datos en el Sistema de Catastro.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 xml:space="preserve"> </w:t>
      </w:r>
      <w:r w:rsidRPr="007F6101"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  <w:t>R.38.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 xml:space="preserve"> Algunos Funcionarios Responsables de Sub Almacenes Desconocen el Manual de Procedimientos de Administración de Almacenes ya que dicho Manual no </w:t>
      </w:r>
      <w:proofErr w:type="gramStart"/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>fue</w:t>
      </w:r>
      <w:proofErr w:type="gramEnd"/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 xml:space="preserve"> Socializado en la Gestión 2020.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 w:hanging="66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  <w:proofErr w:type="spellStart"/>
      <w:r w:rsidRPr="007F6101">
        <w:rPr>
          <w:rFonts w:ascii="Arial Narrow" w:eastAsia="Times New Roman" w:hAnsi="Arial Narrow" w:cs="Times New Roman"/>
          <w:b/>
          <w:sz w:val="24"/>
          <w:szCs w:val="20"/>
          <w:u w:val="single"/>
          <w:lang w:val="es-ES" w:eastAsia="es-ES"/>
        </w:rPr>
        <w:t>Recomendacion</w:t>
      </w:r>
      <w:proofErr w:type="spellEnd"/>
      <w:r w:rsidRPr="007F6101">
        <w:rPr>
          <w:rFonts w:ascii="Arial Narrow" w:eastAsia="Times New Roman" w:hAnsi="Arial Narrow" w:cs="Times New Roman"/>
          <w:b/>
          <w:sz w:val="24"/>
          <w:szCs w:val="20"/>
          <w:u w:val="single"/>
          <w:lang w:val="es-ES" w:eastAsia="es-ES"/>
        </w:rPr>
        <w:t xml:space="preserve"> NO Aplicable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 xml:space="preserve"> 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 w:hanging="66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 w:hanging="66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  <w:t>2.31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>. Pagos por Despidos Intempestivos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 w:hanging="66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 w:hanging="66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Times New Roman" w:hAnsi="Arial Narrow" w:cs="Times New Roman"/>
          <w:b/>
          <w:sz w:val="24"/>
          <w:szCs w:val="20"/>
          <w:u w:val="single"/>
          <w:lang w:val="es-ES" w:eastAsia="es-ES"/>
        </w:rPr>
        <w:lastRenderedPageBreak/>
        <w:t>Recomendaciones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 xml:space="preserve"> </w:t>
      </w:r>
      <w:r w:rsidRPr="007F6101">
        <w:rPr>
          <w:rFonts w:ascii="Arial Narrow" w:eastAsia="Times New Roman" w:hAnsi="Arial Narrow" w:cs="Times New Roman"/>
          <w:b/>
          <w:sz w:val="24"/>
          <w:szCs w:val="20"/>
          <w:u w:val="single"/>
          <w:lang w:val="es-ES" w:eastAsia="es-ES"/>
        </w:rPr>
        <w:t>NO Cumplidas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 xml:space="preserve">  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426" w:hanging="66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851" w:hanging="491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  <w:t>R.3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>. Libretas Bancarias que Cuentan con Recursos Económicos para Ejecución de Proyectos de Infraestructura, NO Utilizados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firstLine="360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Times New Roman" w:hAnsi="Arial Narrow" w:cs="Times New Roman"/>
          <w:b/>
          <w:noProof/>
          <w:color w:val="000000"/>
          <w:sz w:val="24"/>
          <w:szCs w:val="20"/>
          <w:lang w:val="es-ES" w:eastAsia="es-ES"/>
        </w:rPr>
        <w:t>R.4</w:t>
      </w:r>
      <w:r w:rsidRPr="007F6101">
        <w:rPr>
          <w:rFonts w:ascii="Arial Narrow" w:eastAsia="Times New Roman" w:hAnsi="Arial Narrow" w:cs="Times New Roman"/>
          <w:noProof/>
          <w:color w:val="000000"/>
          <w:sz w:val="24"/>
          <w:szCs w:val="20"/>
          <w:lang w:val="es-ES" w:eastAsia="es-ES"/>
        </w:rPr>
        <w:t>. Inexistencia de un Manual de Procedimientos de Cuentas por Cobrar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R.5.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 xml:space="preserve">Dividendos por Utilidades de la Fábrica Nacional de Cemento </w:t>
      </w:r>
      <w:proofErr w:type="spellStart"/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>Fancesa</w:t>
      </w:r>
      <w:proofErr w:type="spellEnd"/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 xml:space="preserve"> Pendientes de Cobro.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, 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 R.6.</w:t>
      </w:r>
      <w:r w:rsidRPr="007F6101">
        <w:rPr>
          <w:rFonts w:ascii="Courier New" w:eastAsia="Times New Roman" w:hAnsi="Courier New" w:cs="Times New Roman"/>
          <w:sz w:val="24"/>
          <w:szCs w:val="20"/>
          <w:lang w:val="es-ES" w:eastAsia="es-ES"/>
        </w:rPr>
        <w:t xml:space="preserve">  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Inconsistencia de Saldos en Cuentas del Activo Exigible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 R.7.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  Adeudos a Proveedores desde Gestiones Anteriores, 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993" w:hanging="709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 R.10.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>Diferencias entre los Saldos de Reportes Emitidos de Inventario Final Valorado de Algunos Sub Almacenes para Verificación de Existencias y el Resumen Valorado de Saldos de Almacenes para la Incorporación en el Balance General de la Entidad al 31 de Diciembre de 2020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>R.11.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 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>Custodia Incompleta de Respaldos de Derecho Propietario de las Construcciones en Proceso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851" w:hanging="851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     </w:t>
      </w: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>R.13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. Vehículos Observados en cuanto al Derecho Propietario, Registro de Activos Fijos, Registro Contable Y Cambio de </w:t>
      </w:r>
      <w:proofErr w:type="spellStart"/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Radicatoria</w:t>
      </w:r>
      <w:proofErr w:type="spellEnd"/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   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993" w:hanging="993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  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  </w:t>
      </w: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>R.14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 Inconsistencia de Saldos en Cuentas del Activo Fijo en las Gestiones 2019-2020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851" w:hanging="851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     </w:t>
      </w: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>R.15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.  Insuficiente Documentación de Respaldo de los Proyectos de Inversión Pública en Proceso y Concluidas, en </w:t>
      </w:r>
      <w:proofErr w:type="spellStart"/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laS</w:t>
      </w:r>
      <w:proofErr w:type="spellEnd"/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Unidades Ejecutoras y Secretaría Municipal de Infraestructura Pública.</w:t>
      </w:r>
    </w:p>
    <w:p w:rsidR="007F6101" w:rsidRDefault="007F6101" w:rsidP="007F6101">
      <w:pPr>
        <w:widowControl w:val="0"/>
        <w:snapToGrid w:val="0"/>
        <w:spacing w:after="0" w:line="240" w:lineRule="auto"/>
        <w:ind w:left="284" w:hanging="142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   </w:t>
      </w: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>R.16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.  Incompleta de Respaldos de Derecho Propietario de las Construcciones en Proceso Custodia     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284" w:hanging="142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  </w:t>
      </w: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>R.17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.  Exposición Incompleta en las Notas a los Estados Financieros de la Cuenta Construcciones en       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firstLine="851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Proceso.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     </w:t>
      </w: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>R.18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  Inexistencia de Cierre Financiero de Proyectos Concluidos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993" w:hanging="993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     </w:t>
      </w: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>R.19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 Insuficiente Respaldo e Incoherencia en Datos del Informe de Seguimiento Institucional con Respecto al   Programa Operativo Anual.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     </w:t>
      </w: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>R.20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 Activos Intangibles Pertenecientes al G.A.M.S. Sin Revalorización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993" w:hanging="993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     </w:t>
      </w: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>R.21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 La Cuenta de Activos Intangibles no cuenta con un Responsable que Efectué  el Seguimiento, Control y Reporte Sobre la Situación de los Activos Intangibles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     </w:t>
      </w: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>R.22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.  Activo Intangible dado de Baja sin contar con un Manual de Procedimientos y el </w:t>
      </w:r>
      <w:r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 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Respaldo 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                 Suficiente.    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993" w:hanging="993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     </w:t>
      </w: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>R.23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 Inconsistencia entre Auxiliares por Beneficiario Generados del SIGEP y Confirmación de Saldos por parte del Beneficiario del Pasivo.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     R.24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.  Inadecuada </w:t>
      </w:r>
      <w:proofErr w:type="spellStart"/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Clasificacion</w:t>
      </w:r>
      <w:proofErr w:type="spellEnd"/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 xml:space="preserve"> de Cuentas por Pagar a Corto Plazo.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     R.25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Capitulo Patrimonio Público con Registros Pendientes de Cierre Contable.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993" w:hanging="709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R.26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Inexistencia de un Reglamento para Realizar Transferencias Público-Privadas de Capital para Proyectos de Inversión Conforme lo Exige la Normativa Vigente.</w:t>
      </w:r>
      <w:r w:rsidRPr="007F6101">
        <w:rPr>
          <w:rFonts w:ascii="Arial Narrow" w:eastAsia="Times New Roman" w:hAnsi="Arial Narrow" w:cs="Times New Roman"/>
          <w:webHidden/>
          <w:sz w:val="24"/>
          <w:szCs w:val="20"/>
          <w:lang w:val="es-ES" w:eastAsia="es-ES"/>
        </w:rPr>
        <w:tab/>
      </w:r>
      <w:r w:rsidRPr="007F6101">
        <w:rPr>
          <w:rFonts w:ascii="Arial Narrow" w:eastAsia="Times New Roman" w:hAnsi="Arial Narrow" w:cs="Times New Roman"/>
          <w:webHidden/>
          <w:sz w:val="24"/>
          <w:szCs w:val="20"/>
          <w:lang w:val="es-ES" w:eastAsia="es-ES"/>
        </w:rPr>
        <w:fldChar w:fldCharType="begin"/>
      </w:r>
      <w:r w:rsidRPr="007F6101">
        <w:rPr>
          <w:rFonts w:ascii="Arial Narrow" w:eastAsia="Times New Roman" w:hAnsi="Arial Narrow" w:cs="Times New Roman"/>
          <w:webHidden/>
          <w:sz w:val="24"/>
          <w:szCs w:val="20"/>
          <w:lang w:val="es-ES" w:eastAsia="es-ES"/>
        </w:rPr>
        <w:instrText xml:space="preserve"> PAGEREF _Toc101790246 \h </w:instrText>
      </w:r>
      <w:r w:rsidRPr="007F6101">
        <w:rPr>
          <w:rFonts w:ascii="Arial Narrow" w:eastAsia="Times New Roman" w:hAnsi="Arial Narrow" w:cs="Times New Roman"/>
          <w:webHidden/>
          <w:sz w:val="24"/>
          <w:szCs w:val="20"/>
          <w:lang w:val="es-ES" w:eastAsia="es-ES"/>
        </w:rPr>
      </w:r>
      <w:r w:rsidRPr="007F6101">
        <w:rPr>
          <w:rFonts w:ascii="Arial Narrow" w:eastAsia="Times New Roman" w:hAnsi="Arial Narrow" w:cs="Times New Roman"/>
          <w:webHidden/>
          <w:sz w:val="24"/>
          <w:szCs w:val="20"/>
          <w:lang w:val="es-ES" w:eastAsia="es-ES"/>
        </w:rPr>
        <w:fldChar w:fldCharType="separate"/>
      </w:r>
      <w:r w:rsidRPr="007F6101">
        <w:rPr>
          <w:rFonts w:ascii="Arial Narrow" w:eastAsia="Times New Roman" w:hAnsi="Arial Narrow" w:cs="Times New Roman"/>
          <w:noProof/>
          <w:webHidden/>
          <w:sz w:val="24"/>
          <w:szCs w:val="20"/>
          <w:lang w:val="es-ES" w:eastAsia="es-ES"/>
        </w:rPr>
        <w:t>20</w:t>
      </w:r>
      <w:r w:rsidRPr="007F6101">
        <w:rPr>
          <w:rFonts w:ascii="Arial Narrow" w:eastAsia="Times New Roman" w:hAnsi="Arial Narrow" w:cs="Times New Roman"/>
          <w:webHidden/>
          <w:sz w:val="24"/>
          <w:szCs w:val="20"/>
          <w:lang w:val="es-ES" w:eastAsia="es-ES"/>
        </w:rPr>
        <w:fldChar w:fldCharType="end"/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993" w:hanging="709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R.27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Inexistencia de Manual de Procesos y Procedimientos para el Funcionamiento de la Jefatura de Espectáculos Públicos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993" w:hanging="709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R.29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Insuficiente Documentación de Respaldo en Registros de Recaudaciones de Inmuebles, Vehículos, Patentes, Tasas Y Otros.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R.32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Ausencia de Documento que Efectúe la Reserva del Efectivo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993" w:hanging="709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R.33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Personal Contratado con un Nivel Salarial Menor al Establecido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R.34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Contratos de Alquiler de Inmuebles Suscritos Tardíamente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  <w:t xml:space="preserve"> R.35</w:t>
      </w:r>
      <w:r w:rsidRPr="007F6101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>. Ítems Dispersos en el Gobierno Autónomo Municipal de Sucre.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R.36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Insuficiente Documentación de Respaldo del Pago de Bono a Personas con Discapacidad</w:t>
      </w:r>
    </w:p>
    <w:p w:rsidR="007F6101" w:rsidRPr="007F6101" w:rsidRDefault="007F6101" w:rsidP="007F6101">
      <w:pPr>
        <w:widowControl w:val="0"/>
        <w:snapToGrid w:val="0"/>
        <w:spacing w:after="0" w:line="240" w:lineRule="auto"/>
        <w:ind w:left="284" w:right="-516"/>
        <w:jc w:val="both"/>
        <w:rPr>
          <w:rFonts w:ascii="Arial Narrow" w:eastAsia="Calibri" w:hAnsi="Arial Narrow" w:cs="Times New Roman"/>
          <w:sz w:val="24"/>
          <w:szCs w:val="20"/>
          <w:lang w:val="es-ES" w:eastAsia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R.37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Extemporánea e Insuficiente Presentación de Documentación de Respaldo de Saldos Iniciales</w:t>
      </w:r>
    </w:p>
    <w:p w:rsidR="008C707D" w:rsidRPr="003C12D7" w:rsidRDefault="007F6101" w:rsidP="007F6101">
      <w:pPr>
        <w:ind w:left="284"/>
        <w:jc w:val="both"/>
        <w:rPr>
          <w:rFonts w:ascii="Arial Narrow" w:hAnsi="Arial Narrow"/>
          <w:sz w:val="20"/>
          <w:lang w:val="es-ES"/>
        </w:rPr>
      </w:pPr>
      <w:r w:rsidRPr="007F6101">
        <w:rPr>
          <w:rFonts w:ascii="Arial Narrow" w:eastAsia="Calibri" w:hAnsi="Arial Narrow" w:cs="Times New Roman"/>
          <w:b/>
          <w:sz w:val="24"/>
          <w:szCs w:val="20"/>
          <w:lang w:val="es-ES" w:eastAsia="es-ES"/>
        </w:rPr>
        <w:t xml:space="preserve"> R.39</w:t>
      </w:r>
      <w:r w:rsidRPr="007F6101">
        <w:rPr>
          <w:rFonts w:ascii="Arial Narrow" w:eastAsia="Calibri" w:hAnsi="Arial Narrow" w:cs="Times New Roman"/>
          <w:sz w:val="24"/>
          <w:szCs w:val="20"/>
          <w:lang w:val="es-ES" w:eastAsia="es-ES"/>
        </w:rPr>
        <w:t>. Insuficiente e Inoportuna Remisión de Comprobantes de Ejecución de Gasto, en Instancia de Devengados  y Asientos de Ajustes (MANUALES), de Activo Fijos, Patrimonio y Construcciones en Proceso, para la Auditoria de Confiabilidad de los Estados Financieros del  Gobierno Autónomo Municipal de Sucre al 31 de diciembre de 2020.</w:t>
      </w:r>
    </w:p>
    <w:p w:rsidR="00035035" w:rsidRPr="008C707D" w:rsidRDefault="00035035" w:rsidP="007F6101">
      <w:pPr>
        <w:jc w:val="both"/>
        <w:rPr>
          <w:lang w:val="es-ES"/>
        </w:rPr>
      </w:pPr>
    </w:p>
    <w:sectPr w:rsidR="00035035" w:rsidRPr="008C707D" w:rsidSect="007F6101">
      <w:pgSz w:w="11907" w:h="18711"/>
      <w:pgMar w:top="1418" w:right="127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CCB"/>
    <w:multiLevelType w:val="multilevel"/>
    <w:tmpl w:val="059ED3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3E25C4"/>
    <w:multiLevelType w:val="multilevel"/>
    <w:tmpl w:val="56D48F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49DA7BE2"/>
    <w:multiLevelType w:val="hybridMultilevel"/>
    <w:tmpl w:val="C0760C5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5A46F47"/>
    <w:multiLevelType w:val="multilevel"/>
    <w:tmpl w:val="DB92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3"/>
    <w:rsid w:val="00035035"/>
    <w:rsid w:val="000B315C"/>
    <w:rsid w:val="00522E43"/>
    <w:rsid w:val="006F3EFD"/>
    <w:rsid w:val="007F6101"/>
    <w:rsid w:val="008C707D"/>
    <w:rsid w:val="008C70F7"/>
    <w:rsid w:val="009965E6"/>
    <w:rsid w:val="00D0503A"/>
    <w:rsid w:val="00E749F2"/>
    <w:rsid w:val="00E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522E43"/>
  </w:style>
  <w:style w:type="character" w:styleId="Hipervnculo">
    <w:name w:val="Hyperlink"/>
    <w:basedOn w:val="Fuentedeprrafopredeter"/>
    <w:uiPriority w:val="99"/>
    <w:unhideWhenUsed/>
    <w:rsid w:val="008C7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522E43"/>
  </w:style>
  <w:style w:type="character" w:styleId="Hipervnculo">
    <w:name w:val="Hyperlink"/>
    <w:basedOn w:val="Fuentedeprrafopredeter"/>
    <w:uiPriority w:val="99"/>
    <w:unhideWhenUsed/>
    <w:rsid w:val="008C7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2022-06-15T13:49:00Z</dcterms:created>
  <dcterms:modified xsi:type="dcterms:W3CDTF">2022-06-15T13:49:00Z</dcterms:modified>
</cp:coreProperties>
</file>