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28" w:rsidRPr="00F21028" w:rsidRDefault="00F21028" w:rsidP="00F21028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es-BO"/>
        </w:rPr>
      </w:pPr>
      <w:r w:rsidRPr="00F21028">
        <w:rPr>
          <w:rFonts w:ascii="Times New Roman" w:eastAsia="Times New Roman" w:hAnsi="Times New Roman" w:cs="Times New Roman"/>
          <w:b/>
          <w:bCs/>
          <w:lang w:eastAsia="es-BO"/>
        </w:rPr>
        <w:t>RESUMEN EJECUTIVO</w:t>
      </w:r>
    </w:p>
    <w:p w:rsidR="00F21028" w:rsidRPr="00F21028" w:rsidRDefault="00F21028" w:rsidP="00F2102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_tradnl"/>
        </w:rPr>
      </w:pPr>
      <w:r w:rsidRPr="00F21028">
        <w:rPr>
          <w:rFonts w:ascii="Times New Roman" w:eastAsia="Times New Roman" w:hAnsi="Times New Roman" w:cs="Times New Roman"/>
          <w:color w:val="0D0D0D"/>
          <w:sz w:val="20"/>
          <w:szCs w:val="20"/>
          <w:lang w:val="es-ES_tradnl" w:eastAsia="es-BO"/>
        </w:rPr>
        <w:t>Informe de Auditoría INF. D.A.I. N° 25/2022 correspondiente al “</w:t>
      </w:r>
      <w:r w:rsidRPr="00F21028">
        <w:rPr>
          <w:rFonts w:ascii="Times New Roman" w:eastAsia="Times New Roman" w:hAnsi="Times New Roman" w:cs="Times New Roman"/>
          <w:b/>
          <w:color w:val="0D0D0D"/>
          <w:sz w:val="20"/>
          <w:szCs w:val="20"/>
          <w:lang w:val="es-ES_tradnl" w:eastAsia="es-BO"/>
        </w:rPr>
        <w:t xml:space="preserve">RELEVAMIENTO DE INFORMACIÓN ESPECÍFICA A LA </w:t>
      </w:r>
      <w:r w:rsidRPr="00F21028">
        <w:rPr>
          <w:rFonts w:ascii="Times New Roman" w:eastAsia="Times New Roman" w:hAnsi="Times New Roman" w:cs="Times New Roman"/>
          <w:b/>
          <w:color w:val="0D0D0D"/>
          <w:sz w:val="20"/>
          <w:szCs w:val="20"/>
          <w:lang w:val="es-BO" w:eastAsia="es-BO"/>
        </w:rPr>
        <w:t>AUDITORIA ESPECIAL AL PROYECTO REHABILITACIÓN DE LA INFRAESTRUCTURA UNIDAD EDUCATIVA 1º DE MAYO – DISTRITO 6</w:t>
      </w:r>
      <w:r w:rsidRPr="00F21028">
        <w:rPr>
          <w:rFonts w:ascii="Times New Roman" w:eastAsia="Times New Roman" w:hAnsi="Times New Roman" w:cs="Times New Roman"/>
          <w:color w:val="0D0D0D"/>
          <w:sz w:val="20"/>
          <w:szCs w:val="20"/>
          <w:lang w:val="es-ES_tradnl" w:eastAsia="es-BO"/>
        </w:rPr>
        <w:t xml:space="preserve">”, como auditoria no programada ejecutada en cumplimiento a la </w:t>
      </w:r>
      <w:r w:rsidRPr="00F21028">
        <w:rPr>
          <w:rFonts w:ascii="Times New Roman" w:eastAsia="Times New Roman" w:hAnsi="Times New Roman" w:cs="Times New Roman"/>
          <w:color w:val="0D0D0D"/>
          <w:sz w:val="20"/>
          <w:szCs w:val="20"/>
          <w:lang w:val="es-BO" w:eastAsia="es-BO"/>
        </w:rPr>
        <w:t>Resolución Autonómica Municipal Nº 486/19 emitida por el Concejo Municipal de 25 de noviembre de 2019, Comunicación Interna CITE: Nº 757/19 emitida por la Alcaldesa Municipal de la ciudad de Sucre y en cumplimiento a la Comunicación Interna CITE Nº 157/2021 de la Dirección de Auditoria Interna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_tradnl"/>
        </w:rPr>
      </w:pP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_tradnl"/>
        </w:rPr>
      </w:pPr>
      <w:r w:rsidRPr="00F210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_tradnl"/>
        </w:rPr>
        <w:t xml:space="preserve">Objetivo 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_tradnl"/>
        </w:rPr>
      </w:pPr>
    </w:p>
    <w:p w:rsidR="00F21028" w:rsidRPr="00F21028" w:rsidRDefault="00F21028" w:rsidP="00F21028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val="es-BO" w:eastAsia="es-ES"/>
        </w:rPr>
      </w:pPr>
      <w:r w:rsidRPr="00F21028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El objetivo del Relevamiento de Información Específica es recopilar, verificar y evaluar la información obtenida de fuentes internas y externas, referente a la ejecución del Proyecto Rehabilitación de la Infraestructura Unidad Educativa 1º de mayo del Distrito 6 a fin de identificar hallazgos relevantes que determine su </w:t>
      </w:r>
      <w:r w:rsidRPr="00F210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BO" w:eastAsia="es-ES"/>
        </w:rPr>
        <w:t>AUDITABILIDAD.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 xml:space="preserve">Objeto 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color w:val="0D0D0D"/>
          <w:sz w:val="20"/>
          <w:szCs w:val="20"/>
          <w:lang w:val="es-ES_tradnl" w:eastAsia="es-ES"/>
        </w:rPr>
        <w:t xml:space="preserve">El objeto del relevamiento de información específica lo constituye la información y documentación correspondiente a la ejecución del </w:t>
      </w:r>
      <w:r w:rsidRPr="00F21028">
        <w:rPr>
          <w:rFonts w:ascii="Times New Roman" w:eastAsia="Times New Roman" w:hAnsi="Times New Roman" w:cs="Times New Roman"/>
          <w:color w:val="0D0D0D"/>
          <w:sz w:val="20"/>
          <w:szCs w:val="20"/>
          <w:lang w:eastAsia="es-ES"/>
        </w:rPr>
        <w:t>Proyecto Rehabilitación de la Infraestructura Unidad Educativa 1º de mayo del Distrito 6,</w:t>
      </w:r>
      <w:r w:rsidRPr="00F21028">
        <w:rPr>
          <w:rFonts w:ascii="Times New Roman" w:eastAsia="Times New Roman" w:hAnsi="Times New Roman" w:cs="Times New Roman"/>
          <w:color w:val="0D0D0D"/>
          <w:sz w:val="20"/>
          <w:szCs w:val="20"/>
          <w:lang w:val="es-ES_tradnl" w:eastAsia="es-ES"/>
        </w:rPr>
        <w:t xml:space="preserve"> tales como los citados a continuación: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val="es-BO" w:eastAsia="es-ES"/>
        </w:rPr>
      </w:pPr>
    </w:p>
    <w:p w:rsidR="00F21028" w:rsidRPr="00F21028" w:rsidRDefault="00F21028" w:rsidP="00F21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</w:pPr>
      <w:r w:rsidRPr="00F21028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  <w:t>Minuta de Contrato Nº 02/2019 por Desastres y Emergencias para la ejecución del proyecto “REHABILITACIÓN DE INFRAESTRUCTURAS EDUCATIVAS DEL MUNICIPIO DE SUCRE II” (Cláusulas relacionadas con la Unidad Educativa 1º de mayo).</w:t>
      </w:r>
    </w:p>
    <w:p w:rsidR="00F21028" w:rsidRPr="00F21028" w:rsidRDefault="00F21028" w:rsidP="00F21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</w:pPr>
      <w:r w:rsidRPr="00F21028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  <w:t>Comprobantes Contables referida al pago del proyecto de “REHABILITACIÓN DE INFRAESTRUCTURAS EDUCATIVAS DEL MUNICIPIO DE SUCRE II”</w:t>
      </w:r>
    </w:p>
    <w:p w:rsidR="00F21028" w:rsidRPr="00F21028" w:rsidRDefault="00F21028" w:rsidP="00F21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</w:pPr>
      <w:r w:rsidRPr="00F21028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  <w:t>Certificados de Avance de Obra relacionados con la Unidad Educativa 1º de mayo.</w:t>
      </w:r>
    </w:p>
    <w:p w:rsidR="00F21028" w:rsidRPr="00F21028" w:rsidRDefault="00F21028" w:rsidP="00F21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</w:pPr>
      <w:r w:rsidRPr="00F21028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  <w:t>Libro de Órdenes relacionados con la Unidad Educativa 1º de mayo.</w:t>
      </w:r>
    </w:p>
    <w:p w:rsidR="00F21028" w:rsidRPr="00F21028" w:rsidRDefault="00F21028" w:rsidP="00F210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</w:pPr>
      <w:r w:rsidRPr="00F21028">
        <w:rPr>
          <w:rFonts w:ascii="Times New Roman" w:eastAsia="Times New Roman" w:hAnsi="Times New Roman" w:cs="Times New Roman"/>
          <w:iCs/>
          <w:color w:val="0D0D0D"/>
          <w:sz w:val="20"/>
          <w:szCs w:val="20"/>
          <w:lang w:eastAsia="es-ES"/>
        </w:rPr>
        <w:t>Acta de Recepción Definitiva Nº 171/19.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Resultados del examen</w:t>
      </w:r>
    </w:p>
    <w:p w:rsidR="00F21028" w:rsidRPr="00F21028" w:rsidRDefault="00F21028" w:rsidP="00F21028">
      <w:pPr>
        <w:spacing w:after="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F21028" w:rsidRPr="00F21028" w:rsidRDefault="00F21028" w:rsidP="00F210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sz w:val="20"/>
          <w:szCs w:val="20"/>
          <w:lang w:eastAsia="es-ES"/>
        </w:rPr>
        <w:t>Como resultado del Relevamiento de Información Específica, el mismo que consistió en el análisis, revisión y evaluación de la documentación proporcionada por Secretaría Municipal Administrativa Financiera y Secretaría Municipal de Infraestructura Pública del Gobierno Autónomo Municipal de Sucre correspondientes a la ejecución del proyecto de</w:t>
      </w:r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</w:t>
      </w:r>
      <w:r w:rsidRPr="00F21028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Rehabilitación de la Infraestructura Unidad Educativa 1º de mayo del Distrito 6 </w:t>
      </w:r>
      <w:r w:rsidRPr="00F21028">
        <w:rPr>
          <w:rFonts w:ascii="Times New Roman" w:eastAsia="Times New Roman" w:hAnsi="Times New Roman" w:cs="Times New Roman"/>
          <w:iCs/>
          <w:sz w:val="20"/>
          <w:szCs w:val="20"/>
          <w:lang w:val="es-ES_tradnl" w:eastAsia="es-ES"/>
        </w:rPr>
        <w:t xml:space="preserve">(Cambio de Cubierta de Calamina) </w:t>
      </w:r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se concluye que si bien se cuenta con la documentación necesaria para la ejecución de la respectiva auditoria, en la ejecución de la misma, de acuerdo a Informe Técnico Nº 09/2021 de fecha 04 de junio del 2021 no se encontraron hallazgos relevantes, considerando que en dicho informe no menciona un incumplimiento a los ítems detallados en las especificaciones técnicas de la rehabilitación de la Unidad Educativa 1º de Mayo, por lo que </w:t>
      </w:r>
      <w:r w:rsidRPr="00F21028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NO</w:t>
      </w:r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corresponde su </w:t>
      </w:r>
      <w:r w:rsidRPr="00F21028"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  <w:t>AUDITABILIDAD.</w:t>
      </w:r>
    </w:p>
    <w:p w:rsidR="00F21028" w:rsidRPr="00F21028" w:rsidRDefault="00F21028" w:rsidP="00F210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"/>
        </w:rPr>
      </w:pPr>
    </w:p>
    <w:p w:rsidR="00F21028" w:rsidRPr="00F21028" w:rsidRDefault="00F21028" w:rsidP="00F210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Sin embargo, se pide a su Autoridad instruya, a la Secretaria Municipal Administrativa Financiera que en coordinación con la Dirección de Estudios y proyectos para la elaboración de futuros proyectos de Inversión Pública se realicen los respectivos Estudios de acuerdo al artículo 11 del Reglamento Básico de </w:t>
      </w:r>
      <w:proofErr w:type="spellStart"/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Preinversión</w:t>
      </w:r>
      <w:proofErr w:type="spellEnd"/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 xml:space="preserve"> R.M. 115 del 12 de mayo del 2015</w:t>
      </w:r>
      <w:r w:rsidRPr="00F21028">
        <w:rPr>
          <w:rFonts w:ascii="Times New Roman" w:eastAsia="Times New Roman" w:hAnsi="Times New Roman" w:cs="Times New Roman"/>
          <w:iCs/>
          <w:sz w:val="20"/>
          <w:szCs w:val="20"/>
          <w:lang w:val="es-ES_tradnl" w:eastAsia="es-ES"/>
        </w:rPr>
        <w:t xml:space="preserve">. </w:t>
      </w:r>
    </w:p>
    <w:p w:rsidR="00F21028" w:rsidRPr="00F21028" w:rsidRDefault="00F21028" w:rsidP="00F210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Asimismo, se recomienda a su Autoridad instruya, a la Secretaria Municipal de Infraestructura Pública que a través de la Dirección de Estudios y Proyectos apliquen mecanismos de control para evitar contradicciones en los documentos correspondientes al presupuesto de obra y las especificaciones técnicas.</w:t>
      </w:r>
    </w:p>
    <w:p w:rsidR="00F21028" w:rsidRDefault="00F21028" w:rsidP="00F210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_tradnl" w:eastAsia="es-ES"/>
        </w:rPr>
      </w:pPr>
    </w:p>
    <w:p w:rsidR="00F21028" w:rsidRDefault="00F21028" w:rsidP="00F210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es-ES_tradnl" w:eastAsia="es-ES"/>
        </w:rPr>
      </w:pPr>
    </w:p>
    <w:p w:rsidR="00F21028" w:rsidRPr="00F21028" w:rsidRDefault="00F21028" w:rsidP="00F2102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val="es-ES_tradnl" w:eastAsia="es-ES"/>
        </w:rPr>
      </w:pPr>
      <w:r w:rsidRPr="00F21028">
        <w:rPr>
          <w:rFonts w:ascii="Times New Roman" w:eastAsia="Times New Roman" w:hAnsi="Times New Roman" w:cs="Times New Roman"/>
          <w:b/>
          <w:iCs/>
          <w:sz w:val="20"/>
          <w:szCs w:val="20"/>
          <w:lang w:val="es-ES_tradnl" w:eastAsia="es-ES"/>
        </w:rPr>
        <w:t>Sucre, Julio de 2022</w:t>
      </w:r>
    </w:p>
    <w:p w:rsidR="00F21028" w:rsidRPr="00F21028" w:rsidRDefault="00F21028" w:rsidP="00F2102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  <w:lang w:val="es-ES_tradnl" w:eastAsia="es-ES"/>
        </w:rPr>
      </w:pPr>
    </w:p>
    <w:p w:rsidR="00F21028" w:rsidRPr="00F21028" w:rsidRDefault="00F21028" w:rsidP="00F21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_tradnl" w:eastAsia="es-BO"/>
        </w:rPr>
        <w:sectPr w:rsidR="00F21028" w:rsidRPr="00F21028" w:rsidSect="00F21028">
          <w:footerReference w:type="default" r:id="rId6"/>
          <w:pgSz w:w="12242" w:h="18722" w:code="41"/>
          <w:pgMar w:top="2410" w:right="1418" w:bottom="1418" w:left="1843" w:header="2495" w:footer="709" w:gutter="0"/>
          <w:pgNumType w:start="1"/>
          <w:cols w:space="708"/>
          <w:titlePg/>
          <w:docGrid w:linePitch="360"/>
        </w:sectPr>
      </w:pPr>
    </w:p>
    <w:p w:rsidR="00412179" w:rsidRDefault="00412179" w:rsidP="00F21028">
      <w:bookmarkStart w:id="0" w:name="_GoBack"/>
      <w:bookmarkEnd w:id="0"/>
    </w:p>
    <w:sectPr w:rsidR="00412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5C" w:rsidRDefault="00F21028">
    <w:pPr>
      <w:jc w:val="center"/>
    </w:pPr>
  </w:p>
  <w:p w:rsidR="00C6545C" w:rsidRDefault="00F21028">
    <w:pP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865F0"/>
    <w:multiLevelType w:val="hybridMultilevel"/>
    <w:tmpl w:val="7DCA319C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28"/>
    <w:rsid w:val="00412179"/>
    <w:rsid w:val="00F2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F2102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F21028"/>
    <w:rPr>
      <w:rFonts w:ascii="Cambria" w:eastAsia="Times New Roman" w:hAnsi="Cambria" w:cs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ar"/>
    <w:semiHidden/>
    <w:unhideWhenUsed/>
    <w:qFormat/>
    <w:rsid w:val="00F21028"/>
    <w:pPr>
      <w:spacing w:before="240" w:after="60" w:line="240" w:lineRule="auto"/>
      <w:outlineLvl w:val="8"/>
    </w:pPr>
    <w:rPr>
      <w:rFonts w:ascii="Cambria" w:eastAsia="Times New Roman" w:hAnsi="Cambria" w:cs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semiHidden/>
    <w:rsid w:val="00F21028"/>
    <w:rPr>
      <w:rFonts w:ascii="Cambria" w:eastAsia="Times New Roman" w:hAnsi="Cambria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2022-07-26T19:32:00Z</dcterms:created>
  <dcterms:modified xsi:type="dcterms:W3CDTF">2022-07-26T19:50:00Z</dcterms:modified>
</cp:coreProperties>
</file>