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387" w:rsidRPr="004A4449" w:rsidRDefault="00417387" w:rsidP="0041738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es-ES"/>
        </w:rPr>
      </w:pPr>
      <w:r w:rsidRPr="004A4449">
        <w:rPr>
          <w:rFonts w:ascii="Arial Narrow" w:eastAsia="Calibri" w:hAnsi="Arial Narrow" w:cs="Times New Roman"/>
          <w:b/>
          <w:color w:val="000000"/>
          <w:sz w:val="24"/>
          <w:szCs w:val="24"/>
          <w:lang w:eastAsia="es-ES"/>
        </w:rPr>
        <w:t>DIRECCION DE AUDITORIA INTERNA</w:t>
      </w:r>
    </w:p>
    <w:p w:rsidR="00417387" w:rsidRPr="004A4449" w:rsidRDefault="00417387" w:rsidP="0041738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lang w:eastAsia="es-ES"/>
        </w:rPr>
      </w:pPr>
      <w:r w:rsidRPr="004A4449">
        <w:rPr>
          <w:rFonts w:ascii="Arial Narrow" w:eastAsia="Calibri" w:hAnsi="Arial Narrow" w:cs="Times New Roman"/>
          <w:b/>
          <w:bCs/>
          <w:color w:val="000000"/>
          <w:sz w:val="24"/>
          <w:szCs w:val="20"/>
          <w:lang w:eastAsia="es-ES"/>
        </w:rPr>
        <w:t>RESUMEN EJECUTIVO</w:t>
      </w:r>
    </w:p>
    <w:p w:rsidR="00417387" w:rsidRPr="004A4449" w:rsidRDefault="00417387" w:rsidP="0041738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es-ES"/>
        </w:rPr>
      </w:pPr>
    </w:p>
    <w:p w:rsidR="00417387" w:rsidRPr="004A4449" w:rsidRDefault="00417387" w:rsidP="0041738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es-ES"/>
        </w:rPr>
      </w:pPr>
    </w:p>
    <w:p w:rsidR="00417387" w:rsidRPr="004A4449" w:rsidRDefault="00417387" w:rsidP="00417387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i/>
          <w:lang w:eastAsia="es-ES"/>
        </w:rPr>
      </w:pPr>
      <w:r>
        <w:rPr>
          <w:rFonts w:ascii="Arial Narrow" w:eastAsia="Times New Roman" w:hAnsi="Arial Narrow" w:cs="Courier New"/>
          <w:lang w:eastAsia="es-ES"/>
        </w:rPr>
        <w:t xml:space="preserve">Informe INF. D.A.I. </w:t>
      </w:r>
      <w:proofErr w:type="spellStart"/>
      <w:r>
        <w:rPr>
          <w:rFonts w:ascii="Arial Narrow" w:eastAsia="Times New Roman" w:hAnsi="Arial Narrow" w:cs="Courier New"/>
          <w:lang w:eastAsia="es-ES"/>
        </w:rPr>
        <w:t>Nº</w:t>
      </w:r>
      <w:proofErr w:type="spellEnd"/>
      <w:r>
        <w:rPr>
          <w:rFonts w:ascii="Arial Narrow" w:eastAsia="Times New Roman" w:hAnsi="Arial Narrow" w:cs="Courier New"/>
          <w:lang w:eastAsia="es-ES"/>
        </w:rPr>
        <w:t xml:space="preserve"> 12/2023 correspondiente al S</w:t>
      </w:r>
      <w:r w:rsidRPr="004A4449">
        <w:rPr>
          <w:rFonts w:ascii="Arial Narrow" w:eastAsia="Times New Roman" w:hAnsi="Arial Narrow" w:cs="Courier New"/>
          <w:lang w:eastAsia="es-ES"/>
        </w:rPr>
        <w:t>egundo seguimiento</w:t>
      </w:r>
      <w:r>
        <w:rPr>
          <w:rFonts w:ascii="Arial Narrow" w:eastAsia="Times New Roman" w:hAnsi="Arial Narrow" w:cs="Courier New"/>
          <w:lang w:eastAsia="es-ES"/>
        </w:rPr>
        <w:t xml:space="preserve"> a las Recomendaciones No Cumplidas expuestas en el INF. D.A.I. </w:t>
      </w:r>
      <w:proofErr w:type="spellStart"/>
      <w:r>
        <w:rPr>
          <w:rFonts w:ascii="Arial Narrow" w:eastAsia="Times New Roman" w:hAnsi="Arial Narrow" w:cs="Courier New"/>
          <w:lang w:eastAsia="es-ES"/>
        </w:rPr>
        <w:t>Nº</w:t>
      </w:r>
      <w:proofErr w:type="spellEnd"/>
      <w:r>
        <w:rPr>
          <w:rFonts w:ascii="Arial Narrow" w:eastAsia="Times New Roman" w:hAnsi="Arial Narrow" w:cs="Courier New"/>
          <w:lang w:eastAsia="es-ES"/>
        </w:rPr>
        <w:t xml:space="preserve"> 11/2022 Seguimiento al informe de Auditoría INF. D.A.I. G.A.M.S. </w:t>
      </w:r>
      <w:proofErr w:type="spellStart"/>
      <w:r>
        <w:rPr>
          <w:rFonts w:ascii="Arial Narrow" w:eastAsia="Times New Roman" w:hAnsi="Arial Narrow" w:cs="Courier New"/>
          <w:lang w:eastAsia="es-ES"/>
        </w:rPr>
        <w:t>Nº</w:t>
      </w:r>
      <w:proofErr w:type="spellEnd"/>
      <w:r>
        <w:rPr>
          <w:rFonts w:ascii="Arial Narrow" w:eastAsia="Times New Roman" w:hAnsi="Arial Narrow" w:cs="Courier New"/>
          <w:lang w:eastAsia="es-ES"/>
        </w:rPr>
        <w:t xml:space="preserve"> 05/2021 </w:t>
      </w:r>
      <w:r w:rsidRPr="004A4449">
        <w:rPr>
          <w:rFonts w:ascii="Arial Narrow" w:eastAsia="Times New Roman" w:hAnsi="Arial Narrow" w:cs="Courier New"/>
          <w:b/>
          <w:color w:val="262626"/>
          <w:lang w:eastAsia="es-ES"/>
        </w:rPr>
        <w:t>“</w:t>
      </w:r>
      <w:r w:rsidRPr="004A4449">
        <w:rPr>
          <w:rFonts w:ascii="Arial Narrow" w:eastAsia="Times New Roman" w:hAnsi="Arial Narrow" w:cs="Courier New"/>
          <w:b/>
          <w:color w:val="000000"/>
          <w:lang w:eastAsia="es-ES"/>
        </w:rPr>
        <w:t xml:space="preserve">AUDITORÍA DE CONFIABILIDAD DE LOS REGISTROS Y ESTADOS FINANCIEROS DEL GOBIERNO AUTÓNOMO MUNICIPAL DE SUCRE CORRESPONDIENTE A LA GESTIÓN 2020” (Control Interno) </w:t>
      </w:r>
      <w:r w:rsidRPr="004A4449">
        <w:rPr>
          <w:rFonts w:ascii="Arial Narrow" w:eastAsia="Times New Roman" w:hAnsi="Arial Narrow" w:cs="Courier New"/>
          <w:bCs/>
          <w:color w:val="000000"/>
          <w:lang w:eastAsia="es-ES"/>
        </w:rPr>
        <w:t>y</w:t>
      </w:r>
      <w:r w:rsidRPr="004A4449">
        <w:rPr>
          <w:rFonts w:ascii="Arial Narrow" w:eastAsia="Times New Roman" w:hAnsi="Arial Narrow" w:cs="Courier New"/>
          <w:b/>
          <w:color w:val="000000"/>
          <w:lang w:eastAsia="es-ES"/>
        </w:rPr>
        <w:t xml:space="preserve"> </w:t>
      </w:r>
      <w:r w:rsidRPr="004A4449">
        <w:rPr>
          <w:rFonts w:ascii="Arial Narrow" w:eastAsia="Times New Roman" w:hAnsi="Arial Narrow" w:cs="Times New Roman"/>
          <w:lang w:eastAsia="es-ES"/>
        </w:rPr>
        <w:t xml:space="preserve">en aplicación de la Resolución </w:t>
      </w:r>
      <w:proofErr w:type="spellStart"/>
      <w:r w:rsidRPr="004A4449">
        <w:rPr>
          <w:rFonts w:ascii="Arial Narrow" w:eastAsia="Times New Roman" w:hAnsi="Arial Narrow" w:cs="Times New Roman"/>
          <w:lang w:eastAsia="es-ES"/>
        </w:rPr>
        <w:t>N°</w:t>
      </w:r>
      <w:proofErr w:type="spellEnd"/>
      <w:r w:rsidRPr="004A4449">
        <w:rPr>
          <w:rFonts w:ascii="Arial Narrow" w:eastAsia="Times New Roman" w:hAnsi="Arial Narrow" w:cs="Times New Roman"/>
          <w:lang w:eastAsia="es-ES"/>
        </w:rPr>
        <w:t xml:space="preserve"> CGR-1/010/97 emitido por la Contraloría General del Estado;  Artículo Primero que indica: </w:t>
      </w:r>
      <w:r>
        <w:rPr>
          <w:rFonts w:ascii="Arial Narrow" w:eastAsia="Times New Roman" w:hAnsi="Arial Narrow" w:cs="Times New Roman"/>
          <w:lang w:eastAsia="es-ES"/>
        </w:rPr>
        <w:t>“</w:t>
      </w:r>
      <w:r w:rsidRPr="004A4449">
        <w:rPr>
          <w:rFonts w:ascii="Arial Narrow" w:eastAsia="Times New Roman" w:hAnsi="Arial Narrow" w:cs="Times New Roman"/>
          <w:i/>
          <w:lang w:eastAsia="es-ES"/>
        </w:rPr>
        <w:t>Las Unidades de Auditoría Interna de cada Entidad Publica deben efectuar exámenes específicos de seguimiento al cumplimiento de las recomendaciones, emergentes de sus propios informes y de las auditorias que se practiquen en dichas entidades…”</w:t>
      </w:r>
      <w:r>
        <w:rPr>
          <w:rFonts w:ascii="Arial Narrow" w:eastAsia="Times New Roman" w:hAnsi="Arial Narrow" w:cs="Times New Roman"/>
          <w:lang w:eastAsia="es-ES"/>
        </w:rPr>
        <w:t>.</w:t>
      </w:r>
    </w:p>
    <w:p w:rsidR="00417387" w:rsidRPr="004A4449" w:rsidRDefault="00417387" w:rsidP="00417387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Courier New"/>
          <w:lang w:eastAsia="es-ES"/>
        </w:rPr>
      </w:pPr>
    </w:p>
    <w:p w:rsidR="00417387" w:rsidRPr="004A4449" w:rsidRDefault="00417387" w:rsidP="00417387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Courier New"/>
          <w:lang w:eastAsia="es-ES"/>
        </w:rPr>
      </w:pPr>
      <w:r>
        <w:rPr>
          <w:rFonts w:ascii="Arial Narrow" w:eastAsia="Times New Roman" w:hAnsi="Arial Narrow" w:cs="Courier New"/>
          <w:lang w:eastAsia="es-BO"/>
        </w:rPr>
        <w:t>El</w:t>
      </w:r>
      <w:r w:rsidRPr="004A4449">
        <w:rPr>
          <w:rFonts w:ascii="Arial Narrow" w:eastAsia="Times New Roman" w:hAnsi="Arial Narrow" w:cs="Courier New"/>
          <w:lang w:eastAsia="es-BO"/>
        </w:rPr>
        <w:t xml:space="preserve"> Formato 2 de Cronograma de Implantación fue </w:t>
      </w:r>
      <w:r>
        <w:rPr>
          <w:rFonts w:ascii="Arial Narrow" w:eastAsia="Times New Roman" w:hAnsi="Arial Narrow" w:cs="Courier New"/>
          <w:lang w:eastAsia="es-BO"/>
        </w:rPr>
        <w:t xml:space="preserve">recepcionada en </w:t>
      </w:r>
      <w:r w:rsidRPr="004A4449">
        <w:rPr>
          <w:rFonts w:ascii="Arial Narrow" w:eastAsia="Times New Roman" w:hAnsi="Arial Narrow" w:cs="Courier New"/>
          <w:lang w:eastAsia="es-BO"/>
        </w:rPr>
        <w:t xml:space="preserve">la Dirección de Auditoría Interna en fecha 10 de agosto de 2022 con nota CITE DESPACHO </w:t>
      </w:r>
      <w:proofErr w:type="spellStart"/>
      <w:r w:rsidRPr="004A4449">
        <w:rPr>
          <w:rFonts w:ascii="Arial Narrow" w:eastAsia="Times New Roman" w:hAnsi="Arial Narrow" w:cs="Courier New"/>
          <w:lang w:eastAsia="es-BO"/>
        </w:rPr>
        <w:t>N°</w:t>
      </w:r>
      <w:proofErr w:type="spellEnd"/>
      <w:r w:rsidRPr="004A4449">
        <w:rPr>
          <w:rFonts w:ascii="Arial Narrow" w:eastAsia="Times New Roman" w:hAnsi="Arial Narrow" w:cs="Courier New"/>
          <w:lang w:eastAsia="es-BO"/>
        </w:rPr>
        <w:t xml:space="preserve"> 1439/2022.</w:t>
      </w:r>
    </w:p>
    <w:p w:rsidR="00417387" w:rsidRPr="004A4449" w:rsidRDefault="00417387" w:rsidP="00417387">
      <w:pPr>
        <w:widowControl w:val="0"/>
        <w:snapToGrid w:val="0"/>
        <w:spacing w:after="0" w:line="240" w:lineRule="auto"/>
        <w:ind w:left="426"/>
        <w:jc w:val="both"/>
        <w:rPr>
          <w:rFonts w:ascii="Arial Narrow" w:eastAsia="Calibri" w:hAnsi="Arial Narrow" w:cs="Courier New"/>
          <w:lang w:eastAsia="es-ES"/>
        </w:rPr>
      </w:pPr>
    </w:p>
    <w:p w:rsidR="00417387" w:rsidRPr="004A4449" w:rsidRDefault="00417387" w:rsidP="00417387">
      <w:pPr>
        <w:rPr>
          <w:rFonts w:ascii="Arial Narrow" w:eastAsia="Calibri" w:hAnsi="Arial Narrow" w:cs="Courier New"/>
          <w:b/>
          <w:lang w:eastAsia="es-ES"/>
        </w:rPr>
      </w:pPr>
      <w:bookmarkStart w:id="0" w:name="_Toc130460939"/>
      <w:r w:rsidRPr="004A4449">
        <w:rPr>
          <w:rFonts w:ascii="Arial Narrow" w:eastAsia="Calibri" w:hAnsi="Arial Narrow" w:cs="Courier New"/>
          <w:b/>
          <w:lang w:eastAsia="es-ES"/>
        </w:rPr>
        <w:t>Objetivo</w:t>
      </w:r>
      <w:bookmarkEnd w:id="0"/>
    </w:p>
    <w:p w:rsidR="00417387" w:rsidRPr="004A4449" w:rsidRDefault="00417387" w:rsidP="00417387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Courier New"/>
          <w:lang w:eastAsia="es-ES"/>
        </w:rPr>
      </w:pPr>
      <w:bookmarkStart w:id="1" w:name="_Toc130460940"/>
      <w:r w:rsidRPr="004A4449">
        <w:rPr>
          <w:rFonts w:ascii="Arial Narrow" w:eastAsia="Times New Roman" w:hAnsi="Arial Narrow" w:cs="Courier New"/>
          <w:lang w:eastAsia="es-ES"/>
        </w:rPr>
        <w:t xml:space="preserve">El objetivo del seguimiento es determinar el cumplimiento de las recomendaciones pendientes de cumplimiento expuestas en el Informe INF.D.A.I. </w:t>
      </w:r>
      <w:proofErr w:type="spellStart"/>
      <w:r w:rsidRPr="004A4449">
        <w:rPr>
          <w:rFonts w:ascii="Arial Narrow" w:eastAsia="Times New Roman" w:hAnsi="Arial Narrow" w:cs="Courier New"/>
          <w:lang w:eastAsia="es-ES"/>
        </w:rPr>
        <w:t>N°</w:t>
      </w:r>
      <w:proofErr w:type="spellEnd"/>
      <w:r w:rsidRPr="004A4449">
        <w:rPr>
          <w:rFonts w:ascii="Arial Narrow" w:eastAsia="Times New Roman" w:hAnsi="Arial Narrow" w:cs="Courier New"/>
          <w:lang w:eastAsia="es-ES"/>
        </w:rPr>
        <w:t xml:space="preserve"> 11/2022 “Seguimiento a las Recomendaciones del INF</w:t>
      </w:r>
      <w:r>
        <w:rPr>
          <w:rFonts w:ascii="Arial Narrow" w:eastAsia="Times New Roman" w:hAnsi="Arial Narrow" w:cs="Courier New"/>
          <w:lang w:eastAsia="es-ES"/>
        </w:rPr>
        <w:t>.</w:t>
      </w:r>
      <w:r w:rsidRPr="004A4449">
        <w:rPr>
          <w:rFonts w:ascii="Arial Narrow" w:eastAsia="Times New Roman" w:hAnsi="Arial Narrow" w:cs="Courier New"/>
          <w:lang w:eastAsia="es-ES"/>
        </w:rPr>
        <w:t xml:space="preserve"> D</w:t>
      </w:r>
      <w:r>
        <w:rPr>
          <w:rFonts w:ascii="Arial Narrow" w:eastAsia="Times New Roman" w:hAnsi="Arial Narrow" w:cs="Courier New"/>
          <w:lang w:eastAsia="es-ES"/>
        </w:rPr>
        <w:t>.</w:t>
      </w:r>
      <w:r w:rsidRPr="004A4449">
        <w:rPr>
          <w:rFonts w:ascii="Arial Narrow" w:eastAsia="Times New Roman" w:hAnsi="Arial Narrow" w:cs="Courier New"/>
          <w:lang w:eastAsia="es-ES"/>
        </w:rPr>
        <w:t>A</w:t>
      </w:r>
      <w:r>
        <w:rPr>
          <w:rFonts w:ascii="Arial Narrow" w:eastAsia="Times New Roman" w:hAnsi="Arial Narrow" w:cs="Courier New"/>
          <w:lang w:eastAsia="es-ES"/>
        </w:rPr>
        <w:t>.</w:t>
      </w:r>
      <w:r w:rsidRPr="004A4449">
        <w:rPr>
          <w:rFonts w:ascii="Arial Narrow" w:eastAsia="Times New Roman" w:hAnsi="Arial Narrow" w:cs="Courier New"/>
          <w:lang w:eastAsia="es-ES"/>
        </w:rPr>
        <w:t>I</w:t>
      </w:r>
      <w:r>
        <w:rPr>
          <w:rFonts w:ascii="Arial Narrow" w:eastAsia="Times New Roman" w:hAnsi="Arial Narrow" w:cs="Courier New"/>
          <w:lang w:eastAsia="es-ES"/>
        </w:rPr>
        <w:t>. G.A.M.S.</w:t>
      </w:r>
      <w:r w:rsidRPr="004A4449">
        <w:rPr>
          <w:rFonts w:ascii="Arial Narrow" w:eastAsia="Times New Roman" w:hAnsi="Arial Narrow" w:cs="Courier New"/>
          <w:lang w:eastAsia="es-ES"/>
        </w:rPr>
        <w:t xml:space="preserve"> </w:t>
      </w:r>
      <w:proofErr w:type="spellStart"/>
      <w:r w:rsidRPr="004A4449">
        <w:rPr>
          <w:rFonts w:ascii="Arial Narrow" w:eastAsia="Times New Roman" w:hAnsi="Arial Narrow" w:cs="Courier New"/>
          <w:lang w:eastAsia="es-ES"/>
        </w:rPr>
        <w:t>N°</w:t>
      </w:r>
      <w:proofErr w:type="spellEnd"/>
      <w:r w:rsidRPr="004A4449">
        <w:rPr>
          <w:rFonts w:ascii="Arial Narrow" w:eastAsia="Times New Roman" w:hAnsi="Arial Narrow" w:cs="Courier New"/>
          <w:lang w:eastAsia="es-ES"/>
        </w:rPr>
        <w:t xml:space="preserve"> 05/2021 </w:t>
      </w:r>
      <w:r>
        <w:rPr>
          <w:rFonts w:ascii="Arial Narrow" w:eastAsia="Times New Roman" w:hAnsi="Arial Narrow" w:cs="Courier New"/>
          <w:lang w:eastAsia="es-ES"/>
        </w:rPr>
        <w:t>“</w:t>
      </w:r>
      <w:r w:rsidRPr="004A4449">
        <w:rPr>
          <w:rFonts w:ascii="Arial Narrow" w:eastAsia="Times New Roman" w:hAnsi="Arial Narrow" w:cs="Courier New"/>
          <w:lang w:eastAsia="es-ES"/>
        </w:rPr>
        <w:t>Auditoria sobre la Confiabilidad de los Registros y Estados Financieros del Gobierno Autónomo Municipal de Sucre correspondiente a la gestión 2020”.</w:t>
      </w:r>
    </w:p>
    <w:p w:rsidR="00417387" w:rsidRDefault="00417387" w:rsidP="00417387">
      <w:pPr>
        <w:widowControl w:val="0"/>
        <w:snapToGrid w:val="0"/>
        <w:spacing w:after="0" w:line="240" w:lineRule="auto"/>
        <w:contextualSpacing/>
        <w:jc w:val="both"/>
        <w:outlineLvl w:val="0"/>
        <w:rPr>
          <w:rFonts w:ascii="Arial Narrow" w:eastAsia="Calibri" w:hAnsi="Arial Narrow" w:cs="Courier New"/>
          <w:b/>
          <w:lang w:eastAsia="es-ES"/>
        </w:rPr>
      </w:pPr>
    </w:p>
    <w:p w:rsidR="00417387" w:rsidRPr="004A4449" w:rsidRDefault="00417387" w:rsidP="00417387">
      <w:pPr>
        <w:rPr>
          <w:rFonts w:ascii="Arial Narrow" w:eastAsia="Calibri" w:hAnsi="Arial Narrow" w:cs="Courier New"/>
          <w:b/>
          <w:lang w:eastAsia="es-ES"/>
        </w:rPr>
      </w:pPr>
      <w:r w:rsidRPr="004A4449">
        <w:rPr>
          <w:rFonts w:ascii="Arial Narrow" w:eastAsia="Calibri" w:hAnsi="Arial Narrow" w:cs="Courier New"/>
          <w:b/>
          <w:lang w:eastAsia="es-ES"/>
        </w:rPr>
        <w:t>Objeto</w:t>
      </w:r>
      <w:bookmarkEnd w:id="1"/>
      <w:r w:rsidRPr="004A4449">
        <w:rPr>
          <w:rFonts w:ascii="Arial Narrow" w:eastAsia="Calibri" w:hAnsi="Arial Narrow" w:cs="Courier New"/>
          <w:b/>
          <w:lang w:eastAsia="es-ES"/>
        </w:rPr>
        <w:t xml:space="preserve"> </w:t>
      </w:r>
    </w:p>
    <w:p w:rsidR="00417387" w:rsidRPr="004A4449" w:rsidRDefault="00417387" w:rsidP="00417387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Courier New"/>
          <w:lang w:eastAsia="es-BO"/>
        </w:rPr>
      </w:pPr>
      <w:r w:rsidRPr="004A4449">
        <w:rPr>
          <w:rFonts w:ascii="Arial Narrow" w:eastAsia="Times New Roman" w:hAnsi="Arial Narrow" w:cs="Courier New"/>
          <w:lang w:eastAsia="es-BO"/>
        </w:rPr>
        <w:t>El objeto del seguimiento está constituido por la siguiente documentación e información:</w:t>
      </w:r>
    </w:p>
    <w:p w:rsidR="00417387" w:rsidRPr="004A4449" w:rsidRDefault="00417387" w:rsidP="00417387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Courier New"/>
          <w:lang w:eastAsia="es-BO"/>
        </w:rPr>
      </w:pPr>
    </w:p>
    <w:p w:rsidR="00417387" w:rsidRPr="004A4449" w:rsidRDefault="00417387" w:rsidP="00417387">
      <w:pPr>
        <w:widowControl w:val="0"/>
        <w:numPr>
          <w:ilvl w:val="0"/>
          <w:numId w:val="1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lang w:eastAsia="es-BO"/>
        </w:rPr>
      </w:pPr>
      <w:r w:rsidRPr="004A4449">
        <w:rPr>
          <w:rFonts w:ascii="Arial Narrow" w:eastAsia="Times New Roman" w:hAnsi="Arial Narrow" w:cs="Courier New"/>
          <w:lang w:eastAsia="es-BO"/>
        </w:rPr>
        <w:t xml:space="preserve">Informe INF. D.A.I. </w:t>
      </w:r>
      <w:proofErr w:type="spellStart"/>
      <w:r w:rsidRPr="004A4449">
        <w:rPr>
          <w:rFonts w:ascii="Arial Narrow" w:eastAsia="Times New Roman" w:hAnsi="Arial Narrow" w:cs="Courier New"/>
          <w:lang w:eastAsia="es-BO"/>
        </w:rPr>
        <w:t>N°</w:t>
      </w:r>
      <w:proofErr w:type="spellEnd"/>
      <w:r w:rsidRPr="004A4449">
        <w:rPr>
          <w:rFonts w:ascii="Arial Narrow" w:eastAsia="Times New Roman" w:hAnsi="Arial Narrow" w:cs="Courier New"/>
          <w:lang w:eastAsia="es-BO"/>
        </w:rPr>
        <w:t xml:space="preserve"> 05/2021, Auditoria de Confiabilidad de Registros y Estados Financieros gestión 2020 (Control Interno)</w:t>
      </w:r>
    </w:p>
    <w:p w:rsidR="00417387" w:rsidRPr="004A4449" w:rsidRDefault="00417387" w:rsidP="00417387">
      <w:pPr>
        <w:widowControl w:val="0"/>
        <w:numPr>
          <w:ilvl w:val="0"/>
          <w:numId w:val="1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lang w:eastAsia="es-BO"/>
        </w:rPr>
      </w:pPr>
      <w:r w:rsidRPr="004A4449">
        <w:rPr>
          <w:rFonts w:ascii="Arial Narrow" w:eastAsia="Times New Roman" w:hAnsi="Arial Narrow" w:cs="Courier New"/>
          <w:lang w:eastAsia="es-BO"/>
        </w:rPr>
        <w:t xml:space="preserve">Informe INF D.A.I. </w:t>
      </w:r>
      <w:proofErr w:type="spellStart"/>
      <w:r w:rsidRPr="004A4449">
        <w:rPr>
          <w:rFonts w:ascii="Arial Narrow" w:eastAsia="Times New Roman" w:hAnsi="Arial Narrow" w:cs="Courier New"/>
          <w:lang w:eastAsia="es-BO"/>
        </w:rPr>
        <w:t>N°</w:t>
      </w:r>
      <w:proofErr w:type="spellEnd"/>
      <w:r w:rsidRPr="004A4449">
        <w:rPr>
          <w:rFonts w:ascii="Arial Narrow" w:eastAsia="Times New Roman" w:hAnsi="Arial Narrow" w:cs="Courier New"/>
          <w:lang w:eastAsia="es-BO"/>
        </w:rPr>
        <w:t xml:space="preserve"> 11/2022 Seguimiento a las Recomendaciones del </w:t>
      </w:r>
      <w:r>
        <w:rPr>
          <w:rFonts w:ascii="Arial Narrow" w:eastAsia="Times New Roman" w:hAnsi="Arial Narrow" w:cs="Courier New"/>
          <w:lang w:eastAsia="es-BO"/>
        </w:rPr>
        <w:t xml:space="preserve">INF. </w:t>
      </w:r>
      <w:r>
        <w:rPr>
          <w:rFonts w:ascii="Arial Narrow" w:eastAsia="Times New Roman" w:hAnsi="Arial Narrow" w:cs="Courier New"/>
          <w:lang w:eastAsia="es-ES"/>
        </w:rPr>
        <w:t>D.A.I. G.A.M.S.</w:t>
      </w:r>
      <w:r w:rsidRPr="004A4449">
        <w:rPr>
          <w:rFonts w:ascii="Arial Narrow" w:eastAsia="Times New Roman" w:hAnsi="Arial Narrow" w:cs="Courier New"/>
          <w:lang w:eastAsia="es-BO"/>
        </w:rPr>
        <w:t xml:space="preserve"> </w:t>
      </w:r>
      <w:proofErr w:type="spellStart"/>
      <w:r w:rsidRPr="004A4449">
        <w:rPr>
          <w:rFonts w:ascii="Arial Narrow" w:eastAsia="Times New Roman" w:hAnsi="Arial Narrow" w:cs="Courier New"/>
          <w:lang w:eastAsia="es-BO"/>
        </w:rPr>
        <w:t>N°</w:t>
      </w:r>
      <w:proofErr w:type="spellEnd"/>
      <w:r w:rsidRPr="004A4449">
        <w:rPr>
          <w:rFonts w:ascii="Arial Narrow" w:eastAsia="Times New Roman" w:hAnsi="Arial Narrow" w:cs="Courier New"/>
          <w:lang w:eastAsia="es-BO"/>
        </w:rPr>
        <w:t xml:space="preserve"> 05/2021 Auditoria de Confiabilidad de Registros y Estados Financieros gestión 2020 (Control Interno)</w:t>
      </w:r>
    </w:p>
    <w:p w:rsidR="00417387" w:rsidRPr="004A4449" w:rsidRDefault="00417387" w:rsidP="00417387">
      <w:pPr>
        <w:widowControl w:val="0"/>
        <w:numPr>
          <w:ilvl w:val="0"/>
          <w:numId w:val="1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lang w:eastAsia="es-BO"/>
        </w:rPr>
      </w:pPr>
      <w:r w:rsidRPr="004A4449">
        <w:rPr>
          <w:rFonts w:ascii="Arial Narrow" w:eastAsia="Times New Roman" w:hAnsi="Arial Narrow" w:cs="Courier New"/>
          <w:lang w:eastAsia="es-BO"/>
        </w:rPr>
        <w:t xml:space="preserve">Formato 2 sobre el Cronograma para su respectiva implantación. </w:t>
      </w:r>
    </w:p>
    <w:p w:rsidR="00417387" w:rsidRPr="004A4449" w:rsidRDefault="00417387" w:rsidP="00417387">
      <w:pPr>
        <w:widowControl w:val="0"/>
        <w:numPr>
          <w:ilvl w:val="0"/>
          <w:numId w:val="1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lang w:eastAsia="es-BO"/>
        </w:rPr>
      </w:pPr>
      <w:r w:rsidRPr="004A4449">
        <w:rPr>
          <w:rFonts w:ascii="Arial Narrow" w:eastAsia="Times New Roman" w:hAnsi="Arial Narrow" w:cs="Courier New"/>
          <w:lang w:eastAsia="es-BO"/>
        </w:rPr>
        <w:t>Instructivos para el cumplimiento de las recomendaciones</w:t>
      </w:r>
    </w:p>
    <w:p w:rsidR="00417387" w:rsidRPr="004A4449" w:rsidRDefault="00417387" w:rsidP="00417387">
      <w:pPr>
        <w:widowControl w:val="0"/>
        <w:numPr>
          <w:ilvl w:val="0"/>
          <w:numId w:val="1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lang w:eastAsia="es-BO"/>
        </w:rPr>
      </w:pPr>
      <w:r w:rsidRPr="004A4449">
        <w:rPr>
          <w:rFonts w:ascii="Arial Narrow" w:eastAsia="Times New Roman" w:hAnsi="Arial Narrow" w:cs="Courier New"/>
          <w:lang w:eastAsia="es-BO"/>
        </w:rPr>
        <w:t>Informes generados por las áreas auditadas.</w:t>
      </w:r>
    </w:p>
    <w:p w:rsidR="00417387" w:rsidRPr="004A4449" w:rsidRDefault="00417387" w:rsidP="00417387">
      <w:pPr>
        <w:widowControl w:val="0"/>
        <w:numPr>
          <w:ilvl w:val="0"/>
          <w:numId w:val="1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lang w:eastAsia="es-ES"/>
        </w:rPr>
      </w:pPr>
      <w:r w:rsidRPr="004A4449">
        <w:rPr>
          <w:rFonts w:ascii="Arial Narrow" w:eastAsia="Times New Roman" w:hAnsi="Arial Narrow" w:cs="Courier New"/>
          <w:lang w:eastAsia="es-BO"/>
        </w:rPr>
        <w:t>Otra documentación e información relacionada con las recomendaciones sujetas a seguimiento.</w:t>
      </w:r>
    </w:p>
    <w:p w:rsidR="00417387" w:rsidRPr="004A4449" w:rsidRDefault="00417387" w:rsidP="00417387">
      <w:pPr>
        <w:spacing w:after="0" w:line="240" w:lineRule="auto"/>
        <w:jc w:val="both"/>
        <w:rPr>
          <w:rFonts w:ascii="Arial Narrow" w:eastAsia="Times New Roman" w:hAnsi="Arial Narrow" w:cs="Courier New"/>
          <w:lang w:eastAsia="es-ES"/>
        </w:rPr>
      </w:pPr>
    </w:p>
    <w:p w:rsidR="00417387" w:rsidRPr="004A4449" w:rsidRDefault="00417387" w:rsidP="00417387">
      <w:pPr>
        <w:rPr>
          <w:rFonts w:ascii="Arial Narrow" w:eastAsia="Times New Roman" w:hAnsi="Arial Narrow" w:cs="Courier New"/>
          <w:b/>
          <w:sz w:val="24"/>
          <w:szCs w:val="20"/>
        </w:rPr>
      </w:pPr>
      <w:r w:rsidRPr="004A4449">
        <w:rPr>
          <w:rFonts w:ascii="Arial Narrow" w:eastAsia="Times New Roman" w:hAnsi="Arial Narrow" w:cs="Courier New"/>
          <w:b/>
          <w:sz w:val="24"/>
          <w:szCs w:val="20"/>
          <w:lang w:eastAsia="es-BO"/>
        </w:rPr>
        <w:t xml:space="preserve">RESULTADO DEL SEGUIMIENTO </w:t>
      </w:r>
    </w:p>
    <w:p w:rsidR="00417387" w:rsidRDefault="00417387" w:rsidP="00417387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u w:val="single"/>
          <w:lang w:eastAsia="es-ES"/>
        </w:rPr>
      </w:pPr>
      <w:r w:rsidRPr="004A4449">
        <w:rPr>
          <w:rFonts w:ascii="Arial Narrow" w:eastAsia="Times New Roman" w:hAnsi="Arial Narrow" w:cs="Times New Roman"/>
          <w:b/>
          <w:sz w:val="24"/>
          <w:szCs w:val="20"/>
          <w:u w:val="single"/>
          <w:lang w:eastAsia="es-ES"/>
        </w:rPr>
        <w:t>Recomendaciones Cumplidas</w:t>
      </w:r>
    </w:p>
    <w:p w:rsidR="00417387" w:rsidRDefault="00417387" w:rsidP="00417387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u w:val="single"/>
          <w:lang w:eastAsia="es-ES"/>
        </w:rPr>
      </w:pPr>
    </w:p>
    <w:p w:rsidR="00417387" w:rsidRPr="00B44550" w:rsidRDefault="00417387" w:rsidP="00417387">
      <w:pPr>
        <w:pStyle w:val="Prrafodelista"/>
        <w:widowControl w:val="0"/>
        <w:numPr>
          <w:ilvl w:val="1"/>
          <w:numId w:val="2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7D03BD">
        <w:rPr>
          <w:rFonts w:ascii="Arial Narrow" w:eastAsia="Calibri" w:hAnsi="Arial Narrow" w:cs="Arial"/>
          <w:b/>
          <w:color w:val="000000"/>
          <w:lang w:eastAsia="es-ES"/>
        </w:rPr>
        <w:t xml:space="preserve">LIBRETAS BANCARIAS QUE CUENTAN CON RECURSOS ECONÓMICOS PARA EJECUCIÓN DE PROYECTOS DE INFRAESTRUCTURA, NO UTILIZADOS </w:t>
      </w:r>
    </w:p>
    <w:p w:rsidR="00417387" w:rsidRDefault="00417387" w:rsidP="00417387">
      <w:pPr>
        <w:pStyle w:val="Prrafodelista"/>
        <w:widowControl w:val="0"/>
        <w:numPr>
          <w:ilvl w:val="1"/>
          <w:numId w:val="2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3E7478">
        <w:rPr>
          <w:rFonts w:ascii="Arial Narrow" w:eastAsia="Times New Roman" w:hAnsi="Arial Narrow" w:cs="Times New Roman"/>
          <w:b/>
          <w:bCs/>
          <w:lang w:eastAsia="es-ES"/>
        </w:rPr>
        <w:t>INEXISTENCIA DE UN MANUAL DE PROCEDIMIENTOS DE CUENTAS POR COBRAR</w:t>
      </w:r>
    </w:p>
    <w:p w:rsidR="00417387" w:rsidRDefault="00417387" w:rsidP="00417387">
      <w:pPr>
        <w:pStyle w:val="Prrafodelista"/>
        <w:widowControl w:val="0"/>
        <w:numPr>
          <w:ilvl w:val="1"/>
          <w:numId w:val="3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7D03BD">
        <w:rPr>
          <w:rFonts w:ascii="Arial Narrow" w:eastAsia="Times New Roman" w:hAnsi="Arial Narrow" w:cs="Times New Roman"/>
          <w:b/>
          <w:lang w:eastAsia="es-ES"/>
        </w:rPr>
        <w:t>DIFERENCIAS ENTRE LOS SALDOS DE REPORTES EMITIDOS DE INVENTARIO FINAL VALORADO DE ALGUNOS SUB ALMACENES PARA VERIFICACIÓN DE EXISTENCIAS Y EL RESUMEN VALORADO DE SALDOS DE ALMACENES PARA LA INCORPORACIÓN EN EL BALANCE GENERAL DE LA ENTIDAD AL 31 DE DICIEMBRE DE 2020.</w:t>
      </w:r>
    </w:p>
    <w:p w:rsidR="00417387" w:rsidRPr="00467654" w:rsidRDefault="00417387" w:rsidP="00417387">
      <w:pPr>
        <w:pStyle w:val="Prrafodelista"/>
        <w:widowControl w:val="0"/>
        <w:numPr>
          <w:ilvl w:val="1"/>
          <w:numId w:val="16"/>
        </w:numPr>
        <w:snapToGri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467654">
        <w:rPr>
          <w:rFonts w:ascii="Arial Narrow" w:eastAsia="Times New Roman" w:hAnsi="Arial Narrow" w:cs="Times New Roman"/>
          <w:b/>
          <w:bCs/>
          <w:lang w:eastAsia="es-ES"/>
        </w:rPr>
        <w:t xml:space="preserve">    BIENES INMUEBLES NO ACTUALIZADOS Y SIN ACREDITACIÓN DE DERECHO PROPIETARIO</w:t>
      </w:r>
    </w:p>
    <w:p w:rsidR="00417387" w:rsidRPr="007D03BD" w:rsidRDefault="00417387" w:rsidP="00417387">
      <w:pPr>
        <w:pStyle w:val="Prrafodelista"/>
        <w:widowControl w:val="0"/>
        <w:numPr>
          <w:ilvl w:val="1"/>
          <w:numId w:val="4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7D03BD">
        <w:rPr>
          <w:rFonts w:ascii="Arial Narrow" w:eastAsia="Times New Roman" w:hAnsi="Arial Narrow" w:cs="Times New Roman"/>
          <w:b/>
          <w:lang w:eastAsia="es-ES"/>
        </w:rPr>
        <w:t>INSUFICIENTE DOCUMENTACIÓN DE RESPALDO DE LOS PROYECTOS DE INVERSIÓN PÚBLICA EN PROCESO Y CONCLUIDAS, EN LAS UNIDADES EJECUTORAS Y SECRETARÍA MUNICIPAL DE INFRAESTRUCTURA PÚBLICA.</w:t>
      </w:r>
    </w:p>
    <w:p w:rsidR="00417387" w:rsidRPr="007D03BD" w:rsidRDefault="00417387" w:rsidP="00417387">
      <w:pPr>
        <w:pStyle w:val="Prrafodelista"/>
        <w:widowControl w:val="0"/>
        <w:numPr>
          <w:ilvl w:val="1"/>
          <w:numId w:val="5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7D03BD">
        <w:rPr>
          <w:rFonts w:ascii="Arial Narrow" w:eastAsia="Times New Roman" w:hAnsi="Arial Narrow" w:cs="Times New Roman"/>
          <w:b/>
          <w:lang w:eastAsia="es-ES"/>
        </w:rPr>
        <w:t>INSUFICIENTE RESPALDO E INCOHERENCIA EN DATOS DEL INFORME DE SEGUIMIENTO INSTITUCIONAL CON RESPECTO AL   PROGRAMA OPERATIVO ANUAL</w:t>
      </w:r>
    </w:p>
    <w:p w:rsidR="00417387" w:rsidRPr="007D03BD" w:rsidRDefault="00417387" w:rsidP="00417387">
      <w:pPr>
        <w:pStyle w:val="Prrafodelista"/>
        <w:widowControl w:val="0"/>
        <w:numPr>
          <w:ilvl w:val="1"/>
          <w:numId w:val="6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7D03BD">
        <w:rPr>
          <w:rFonts w:ascii="Arial Narrow" w:eastAsia="Times New Roman" w:hAnsi="Arial Narrow" w:cs="Times New Roman"/>
          <w:b/>
          <w:lang w:eastAsia="es-ES"/>
        </w:rPr>
        <w:t>LA CUENTA DE ACTIVOS INTANGIBLES NO CUENTA CON UN RESPONSABLE QUE EFECTUÉ EL SEGUIMIENTO, CONTROL Y REPORTE SOBRE LA SITUACIÓN DE LOS ACTIVOS INTANGIBLES</w:t>
      </w:r>
    </w:p>
    <w:p w:rsidR="00417387" w:rsidRPr="007D03BD" w:rsidRDefault="00417387" w:rsidP="00417387">
      <w:pPr>
        <w:pStyle w:val="Prrafodelista"/>
        <w:widowControl w:val="0"/>
        <w:numPr>
          <w:ilvl w:val="1"/>
          <w:numId w:val="7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7D03BD">
        <w:rPr>
          <w:rFonts w:ascii="Arial Narrow" w:eastAsia="Times New Roman" w:hAnsi="Arial Narrow" w:cs="Times New Roman"/>
          <w:b/>
          <w:lang w:eastAsia="es-ES"/>
        </w:rPr>
        <w:t>CAPITULO PATRIMONIO PÚBLICO CON REGISTROS PENDIENTES DE CIERRE CONTABLE</w:t>
      </w:r>
    </w:p>
    <w:p w:rsidR="00417387" w:rsidRPr="007D03BD" w:rsidRDefault="00417387" w:rsidP="00417387">
      <w:pPr>
        <w:pStyle w:val="Prrafodelista"/>
        <w:widowControl w:val="0"/>
        <w:numPr>
          <w:ilvl w:val="1"/>
          <w:numId w:val="8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7D03BD">
        <w:rPr>
          <w:rFonts w:ascii="Arial Narrow" w:eastAsia="Times New Roman" w:hAnsi="Arial Narrow" w:cs="Times New Roman"/>
          <w:b/>
          <w:lang w:eastAsia="es-ES"/>
        </w:rPr>
        <w:t>INEXISTENCIA DE MANUAL DE PROCESOS Y PROCEDIMIENTOS PARA EL FUNCIONAMIENTO DE LA JEFATURA DE ESPECTÁCULOS PÚBLICOS</w:t>
      </w:r>
    </w:p>
    <w:p w:rsidR="00417387" w:rsidRPr="007D03BD" w:rsidRDefault="00417387" w:rsidP="00417387">
      <w:pPr>
        <w:pStyle w:val="Prrafodelista"/>
        <w:widowControl w:val="0"/>
        <w:numPr>
          <w:ilvl w:val="1"/>
          <w:numId w:val="9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7D03BD">
        <w:rPr>
          <w:rFonts w:ascii="Arial Narrow" w:eastAsia="Times New Roman" w:hAnsi="Arial Narrow" w:cs="Times New Roman"/>
          <w:b/>
          <w:lang w:eastAsia="es-ES"/>
        </w:rPr>
        <w:t>NSUFICIENTE DOCUMENTACIÓN DE RESPA</w:t>
      </w:r>
      <w:r>
        <w:rPr>
          <w:rFonts w:ascii="Arial Narrow" w:eastAsia="Times New Roman" w:hAnsi="Arial Narrow" w:cs="Times New Roman"/>
          <w:b/>
          <w:lang w:eastAsia="es-ES"/>
        </w:rPr>
        <w:t xml:space="preserve"> </w:t>
      </w:r>
      <w:r w:rsidRPr="007D03BD">
        <w:rPr>
          <w:rFonts w:ascii="Arial Narrow" w:eastAsia="Times New Roman" w:hAnsi="Arial Narrow" w:cs="Times New Roman"/>
          <w:b/>
          <w:lang w:eastAsia="es-ES"/>
        </w:rPr>
        <w:t>LDO EN REGISTROS DE RECAUDACIONES DE INMUEBLES, VEHÍCULOS, PATENTES, TASAS Y OTROS</w:t>
      </w:r>
    </w:p>
    <w:p w:rsidR="00417387" w:rsidRDefault="00417387" w:rsidP="00417387">
      <w:pPr>
        <w:pStyle w:val="Prrafodelista"/>
        <w:widowControl w:val="0"/>
        <w:numPr>
          <w:ilvl w:val="1"/>
          <w:numId w:val="10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7D03BD">
        <w:rPr>
          <w:rFonts w:ascii="Arial Narrow" w:eastAsia="Times New Roman" w:hAnsi="Arial Narrow" w:cs="Times New Roman"/>
          <w:b/>
          <w:lang w:eastAsia="es-ES"/>
        </w:rPr>
        <w:t>PERSONAL CONTRATADO CON UN NIVEL SALARIAL MENOR AL ESTABLECIDO</w:t>
      </w:r>
    </w:p>
    <w:p w:rsidR="00417387" w:rsidRPr="00674088" w:rsidRDefault="00417387" w:rsidP="00417387">
      <w:pPr>
        <w:pStyle w:val="Prrafodelista"/>
        <w:widowControl w:val="0"/>
        <w:numPr>
          <w:ilvl w:val="1"/>
          <w:numId w:val="10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674088">
        <w:rPr>
          <w:rFonts w:ascii="Arial Narrow" w:eastAsia="Times New Roman" w:hAnsi="Arial Narrow" w:cs="Times New Roman"/>
          <w:b/>
          <w:lang w:eastAsia="es-ES"/>
        </w:rPr>
        <w:t>CONTRATOS DE ALQUILER DE INMUEBLES SUSCRITOS TARDÍAMENTE</w:t>
      </w:r>
    </w:p>
    <w:p w:rsidR="00417387" w:rsidRPr="007D03BD" w:rsidRDefault="00417387" w:rsidP="00417387">
      <w:pPr>
        <w:pStyle w:val="Prrafodelista"/>
        <w:widowControl w:val="0"/>
        <w:numPr>
          <w:ilvl w:val="1"/>
          <w:numId w:val="11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7D03BD">
        <w:rPr>
          <w:rFonts w:ascii="Arial Narrow" w:eastAsia="Times New Roman" w:hAnsi="Arial Narrow" w:cs="Times New Roman"/>
          <w:b/>
          <w:lang w:eastAsia="es-ES"/>
        </w:rPr>
        <w:t>ÍTEMS DISPERSOS EN EL GOBIERNO AUTÓNOMO MUNICIPAL DE SUCRE</w:t>
      </w:r>
    </w:p>
    <w:p w:rsidR="00417387" w:rsidRPr="007D03BD" w:rsidRDefault="00417387" w:rsidP="00417387">
      <w:pPr>
        <w:pStyle w:val="Prrafodelista"/>
        <w:widowControl w:val="0"/>
        <w:numPr>
          <w:ilvl w:val="1"/>
          <w:numId w:val="11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7D03BD">
        <w:rPr>
          <w:rFonts w:ascii="Arial Narrow" w:eastAsia="Times New Roman" w:hAnsi="Arial Narrow" w:cs="Times New Roman"/>
          <w:b/>
          <w:lang w:eastAsia="es-ES"/>
        </w:rPr>
        <w:t>INSUFICIENTE DOCUMENTACIÓN DE RESPALDO DEL PAGO DE BONO A PERSONAS CON DISCAPACIDAD</w:t>
      </w:r>
    </w:p>
    <w:p w:rsidR="00417387" w:rsidRPr="007D03BD" w:rsidRDefault="00417387" w:rsidP="00417387">
      <w:pPr>
        <w:pStyle w:val="Prrafodelista"/>
        <w:widowControl w:val="0"/>
        <w:numPr>
          <w:ilvl w:val="1"/>
          <w:numId w:val="12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0"/>
          <w:lang w:eastAsia="es-ES"/>
        </w:rPr>
      </w:pPr>
      <w:r w:rsidRPr="007D03BD">
        <w:rPr>
          <w:rFonts w:ascii="Arial Narrow" w:eastAsia="Times New Roman" w:hAnsi="Arial Narrow" w:cs="Times New Roman"/>
          <w:b/>
          <w:lang w:eastAsia="es-ES"/>
        </w:rPr>
        <w:lastRenderedPageBreak/>
        <w:t>INSUFICIENTE E INOPORTUNA REMISIÓN DE COMPROBANTES DE EJECUCIÓN DE GASTO, EN INSTANCIA DE DEVENGADOS Y ASIENTOS DE AJUSTES (MANUALES), DE ACTIVO FIJOS, PATRIMONIO Y CONSTRUCCIONES EN PROCESO, PARA LA AUDITORIA DE CONFIABILIDAD DE LOS ESTADOS FINANCIEROS DEL GOBIERNO AUTÓNOMO MUNICIPAL DE SUCRE AL 31 DE DICIEMBRE DE 2020</w:t>
      </w:r>
    </w:p>
    <w:p w:rsidR="00417387" w:rsidRPr="004A4449" w:rsidRDefault="00417387" w:rsidP="00417387">
      <w:pPr>
        <w:widowControl w:val="0"/>
        <w:snapToGrid w:val="0"/>
        <w:spacing w:after="0" w:line="240" w:lineRule="auto"/>
        <w:ind w:left="426" w:hanging="66"/>
        <w:jc w:val="both"/>
        <w:rPr>
          <w:rFonts w:ascii="Arial Narrow" w:eastAsia="Times New Roman" w:hAnsi="Arial Narrow" w:cs="Times New Roman"/>
          <w:sz w:val="24"/>
          <w:szCs w:val="20"/>
          <w:lang w:eastAsia="es-ES"/>
        </w:rPr>
      </w:pPr>
    </w:p>
    <w:p w:rsidR="00417387" w:rsidRPr="00EF0BC2" w:rsidRDefault="00417387" w:rsidP="00417387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u w:val="single"/>
          <w:lang w:eastAsia="es-ES"/>
        </w:rPr>
      </w:pPr>
      <w:r w:rsidRPr="00EF0BC2">
        <w:rPr>
          <w:rFonts w:ascii="Arial Narrow" w:eastAsia="Times New Roman" w:hAnsi="Arial Narrow" w:cs="Times New Roman"/>
          <w:b/>
          <w:sz w:val="24"/>
          <w:szCs w:val="20"/>
          <w:u w:val="single"/>
          <w:lang w:eastAsia="es-ES"/>
        </w:rPr>
        <w:t>Recomendaciones</w:t>
      </w:r>
      <w:r w:rsidRPr="00EF0BC2">
        <w:rPr>
          <w:rFonts w:ascii="Arial Narrow" w:eastAsia="Times New Roman" w:hAnsi="Arial Narrow" w:cs="Times New Roman"/>
          <w:sz w:val="24"/>
          <w:szCs w:val="20"/>
          <w:u w:val="single"/>
          <w:lang w:eastAsia="es-ES"/>
        </w:rPr>
        <w:t xml:space="preserve"> </w:t>
      </w:r>
      <w:r w:rsidRPr="00EF0BC2">
        <w:rPr>
          <w:rFonts w:ascii="Arial Narrow" w:eastAsia="Times New Roman" w:hAnsi="Arial Narrow" w:cs="Times New Roman"/>
          <w:b/>
          <w:sz w:val="24"/>
          <w:szCs w:val="20"/>
          <w:u w:val="single"/>
          <w:lang w:eastAsia="es-ES"/>
        </w:rPr>
        <w:t>No Cumplidas</w:t>
      </w:r>
      <w:r w:rsidRPr="00EF0BC2">
        <w:rPr>
          <w:rFonts w:ascii="Arial Narrow" w:eastAsia="Times New Roman" w:hAnsi="Arial Narrow" w:cs="Times New Roman"/>
          <w:sz w:val="24"/>
          <w:szCs w:val="20"/>
          <w:u w:val="single"/>
          <w:lang w:eastAsia="es-ES"/>
        </w:rPr>
        <w:t xml:space="preserve">  </w:t>
      </w:r>
    </w:p>
    <w:p w:rsidR="00417387" w:rsidRPr="00EF0BC2" w:rsidRDefault="00417387" w:rsidP="00417387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u w:val="single"/>
          <w:lang w:eastAsia="es-ES"/>
        </w:rPr>
      </w:pPr>
    </w:p>
    <w:p w:rsidR="00417387" w:rsidRPr="003E7478" w:rsidRDefault="00417387" w:rsidP="00417387">
      <w:pPr>
        <w:pStyle w:val="Prrafodelista"/>
        <w:widowControl w:val="0"/>
        <w:numPr>
          <w:ilvl w:val="1"/>
          <w:numId w:val="2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3E7478">
        <w:rPr>
          <w:rFonts w:ascii="Arial Narrow" w:eastAsia="Times New Roman" w:hAnsi="Arial Narrow" w:cs="Times New Roman"/>
          <w:b/>
          <w:bCs/>
          <w:lang w:eastAsia="es-ES"/>
        </w:rPr>
        <w:t>DIVIDENDOS POR UTILIDADES DE LA FÁBRICA NACIONAL DE CEMENTO FANCESA PENDIENTES DE COBRO</w:t>
      </w:r>
    </w:p>
    <w:p w:rsidR="00417387" w:rsidRPr="003E7478" w:rsidRDefault="00417387" w:rsidP="00417387">
      <w:pPr>
        <w:pStyle w:val="Prrafodelista"/>
        <w:widowControl w:val="0"/>
        <w:numPr>
          <w:ilvl w:val="1"/>
          <w:numId w:val="2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3E7478">
        <w:rPr>
          <w:rFonts w:ascii="Arial Narrow" w:eastAsia="Times New Roman" w:hAnsi="Arial Narrow" w:cs="Times New Roman"/>
          <w:b/>
          <w:bCs/>
          <w:lang w:eastAsia="es-ES"/>
        </w:rPr>
        <w:t>INCONSISTENCIA DE SALDOS EN CUENTAS DEL ACTIVO EXIGIBLE</w:t>
      </w:r>
    </w:p>
    <w:p w:rsidR="00417387" w:rsidRPr="003E7478" w:rsidRDefault="00417387" w:rsidP="00417387">
      <w:pPr>
        <w:pStyle w:val="Prrafodelista"/>
        <w:widowControl w:val="0"/>
        <w:numPr>
          <w:ilvl w:val="1"/>
          <w:numId w:val="13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>
        <w:rPr>
          <w:rFonts w:ascii="Arial Narrow" w:eastAsia="Times New Roman" w:hAnsi="Arial Narrow" w:cs="Times New Roman"/>
          <w:b/>
          <w:bCs/>
          <w:lang w:eastAsia="es-ES"/>
        </w:rPr>
        <w:t xml:space="preserve"> </w:t>
      </w:r>
      <w:r w:rsidRPr="003E7478">
        <w:rPr>
          <w:rFonts w:ascii="Arial Narrow" w:eastAsia="Times New Roman" w:hAnsi="Arial Narrow" w:cs="Times New Roman"/>
          <w:b/>
          <w:bCs/>
          <w:lang w:eastAsia="es-ES"/>
        </w:rPr>
        <w:t>UTILIZACIÓN DE UN DOCUMENTO DISTINTO EN EL ALMACÉN CENTRAL Y SUB ALMACENES PARA LA ENTREGA FÍSICA DE MATERIALES Y SUMINISTROS Y ALGUNOS CARECEN DE REQUISITOS MÍNIMOS</w:t>
      </w:r>
    </w:p>
    <w:p w:rsidR="00417387" w:rsidRPr="003E7478" w:rsidRDefault="00417387" w:rsidP="00417387">
      <w:pPr>
        <w:pStyle w:val="Prrafodelista"/>
        <w:widowControl w:val="0"/>
        <w:numPr>
          <w:ilvl w:val="1"/>
          <w:numId w:val="14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3E7478">
        <w:rPr>
          <w:rFonts w:ascii="Arial Narrow" w:eastAsia="Times New Roman" w:hAnsi="Arial Narrow" w:cs="Times New Roman"/>
          <w:b/>
          <w:bCs/>
          <w:lang w:eastAsia="es-ES"/>
        </w:rPr>
        <w:t>VEHÍCULOS OBSERVADOS EN CUANTO AL DERECHO PROPIETARIO, REGISTRO DE ACTIVOS FIJOS, REGISTRO CONTABLE Y CAMBIO DE RADICATORIA</w:t>
      </w:r>
    </w:p>
    <w:p w:rsidR="00417387" w:rsidRPr="003E7478" w:rsidRDefault="00417387" w:rsidP="00417387">
      <w:pPr>
        <w:pStyle w:val="Prrafodelista"/>
        <w:widowControl w:val="0"/>
        <w:numPr>
          <w:ilvl w:val="1"/>
          <w:numId w:val="14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>
        <w:rPr>
          <w:rFonts w:ascii="Arial Narrow" w:eastAsia="Times New Roman" w:hAnsi="Arial Narrow" w:cs="Times New Roman"/>
          <w:b/>
          <w:bCs/>
          <w:lang w:eastAsia="es-ES"/>
        </w:rPr>
        <w:t>I</w:t>
      </w:r>
      <w:r w:rsidRPr="003E7478">
        <w:rPr>
          <w:rFonts w:ascii="Arial Narrow" w:eastAsia="Times New Roman" w:hAnsi="Arial Narrow" w:cs="Times New Roman"/>
          <w:b/>
          <w:bCs/>
          <w:lang w:eastAsia="es-ES"/>
        </w:rPr>
        <w:t>NCONSISTENCIA DE SALDOS EN CUENTAS DEL ACTIVO FIJO EN LAS GESTIONES 2019-2020</w:t>
      </w:r>
    </w:p>
    <w:p w:rsidR="00417387" w:rsidRPr="003E7478" w:rsidRDefault="00417387" w:rsidP="00417387">
      <w:pPr>
        <w:pStyle w:val="Prrafodelista"/>
        <w:widowControl w:val="0"/>
        <w:numPr>
          <w:ilvl w:val="1"/>
          <w:numId w:val="4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3E7478">
        <w:rPr>
          <w:rFonts w:ascii="Arial Narrow" w:eastAsia="Times New Roman" w:hAnsi="Arial Narrow" w:cs="Times New Roman"/>
          <w:b/>
          <w:bCs/>
          <w:lang w:eastAsia="es-ES"/>
        </w:rPr>
        <w:t>CUSTODIA INCOMPLETA DE RESPALDOS DE DERECHO PROPIETARIO DE LAS CONSTRUCCIONES EN PROCESO</w:t>
      </w:r>
    </w:p>
    <w:p w:rsidR="00417387" w:rsidRPr="003E7478" w:rsidRDefault="00417387" w:rsidP="00417387">
      <w:pPr>
        <w:pStyle w:val="Prrafodelista"/>
        <w:widowControl w:val="0"/>
        <w:numPr>
          <w:ilvl w:val="1"/>
          <w:numId w:val="4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3E7478">
        <w:rPr>
          <w:rFonts w:ascii="Arial Narrow" w:eastAsia="Times New Roman" w:hAnsi="Arial Narrow" w:cs="Times New Roman"/>
          <w:b/>
          <w:bCs/>
          <w:lang w:eastAsia="es-ES"/>
        </w:rPr>
        <w:t>EXPOSICIÓN INCOMPLETA EN LAS NOTAS A LOS ESTADOS FINANCIEROS DE LA CUENTA CONSTRUCCIONES EN PROCESO.</w:t>
      </w:r>
    </w:p>
    <w:p w:rsidR="00417387" w:rsidRPr="003E7478" w:rsidRDefault="00417387" w:rsidP="00417387">
      <w:pPr>
        <w:pStyle w:val="Prrafodelista"/>
        <w:widowControl w:val="0"/>
        <w:numPr>
          <w:ilvl w:val="1"/>
          <w:numId w:val="4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3E7478">
        <w:rPr>
          <w:rFonts w:ascii="Arial Narrow" w:eastAsia="Times New Roman" w:hAnsi="Arial Narrow" w:cs="Times New Roman"/>
          <w:b/>
          <w:bCs/>
          <w:lang w:eastAsia="es-ES"/>
        </w:rPr>
        <w:t>INEXISTENCIA DE CIERRE FINANCIERO DE PROYECTOS CONCLUIDOS</w:t>
      </w:r>
    </w:p>
    <w:p w:rsidR="00417387" w:rsidRPr="00B44550" w:rsidRDefault="00417387" w:rsidP="00417387">
      <w:pPr>
        <w:pStyle w:val="Prrafodelista"/>
        <w:widowControl w:val="0"/>
        <w:numPr>
          <w:ilvl w:val="1"/>
          <w:numId w:val="5"/>
        </w:numPr>
        <w:snapToGri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>
        <w:rPr>
          <w:rFonts w:ascii="Arial Narrow" w:eastAsia="Times New Roman" w:hAnsi="Arial Narrow" w:cs="Times New Roman"/>
          <w:b/>
          <w:bCs/>
          <w:lang w:eastAsia="es-ES"/>
        </w:rPr>
        <w:t xml:space="preserve">    </w:t>
      </w:r>
      <w:r w:rsidRPr="00B44550">
        <w:rPr>
          <w:rFonts w:ascii="Arial Narrow" w:eastAsia="Times New Roman" w:hAnsi="Arial Narrow" w:cs="Times New Roman"/>
          <w:b/>
          <w:bCs/>
          <w:lang w:eastAsia="es-ES"/>
        </w:rPr>
        <w:t>ACTIVOS INTANGIBLES PERTENECIENTES AL G.A.M.S. SIN REVALORIZACIÓN</w:t>
      </w:r>
    </w:p>
    <w:p w:rsidR="00417387" w:rsidRPr="003E7478" w:rsidRDefault="00417387" w:rsidP="00417387">
      <w:pPr>
        <w:pStyle w:val="Prrafodelista"/>
        <w:widowControl w:val="0"/>
        <w:numPr>
          <w:ilvl w:val="1"/>
          <w:numId w:val="6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3E7478">
        <w:rPr>
          <w:rFonts w:ascii="Arial Narrow" w:eastAsia="Times New Roman" w:hAnsi="Arial Narrow" w:cs="Times New Roman"/>
          <w:b/>
          <w:bCs/>
          <w:lang w:eastAsia="es-ES"/>
        </w:rPr>
        <w:t>ACTIVO INTANGIBLE DADO DE BAJA SIN CONTAR CON UN MANUAL DE PROCEDIMIENTOS Y EL RESPALDO SUFICIENTE</w:t>
      </w:r>
    </w:p>
    <w:p w:rsidR="00417387" w:rsidRPr="003E7478" w:rsidRDefault="00417387" w:rsidP="00417387">
      <w:pPr>
        <w:pStyle w:val="Prrafodelista"/>
        <w:widowControl w:val="0"/>
        <w:numPr>
          <w:ilvl w:val="1"/>
          <w:numId w:val="6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3E7478">
        <w:rPr>
          <w:rFonts w:ascii="Arial Narrow" w:eastAsia="Times New Roman" w:hAnsi="Arial Narrow" w:cs="Times New Roman"/>
          <w:b/>
          <w:bCs/>
          <w:lang w:eastAsia="es-ES"/>
        </w:rPr>
        <w:t>INCONSISTENCIA ENTRE AUXILIARES POR BENEFICIARIO GENERADOS DEL SIGEP Y CONFIRMACIÓN DE SALDOS POR PARTE DEL BENEFICIARIO DEL PASIVO</w:t>
      </w:r>
    </w:p>
    <w:p w:rsidR="00417387" w:rsidRPr="003E7478" w:rsidRDefault="00417387" w:rsidP="00417387">
      <w:pPr>
        <w:pStyle w:val="Prrafodelista"/>
        <w:widowControl w:val="0"/>
        <w:numPr>
          <w:ilvl w:val="1"/>
          <w:numId w:val="6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3E7478">
        <w:rPr>
          <w:rFonts w:ascii="Arial Narrow" w:eastAsia="Times New Roman" w:hAnsi="Arial Narrow" w:cs="Times New Roman"/>
          <w:b/>
          <w:bCs/>
          <w:lang w:eastAsia="es-ES"/>
        </w:rPr>
        <w:t>INADECUADA CLASIFICACION DE CUENTAS POR PAGAR A CORTO PLAZO</w:t>
      </w:r>
    </w:p>
    <w:p w:rsidR="00417387" w:rsidRPr="00B44550" w:rsidRDefault="00417387" w:rsidP="00417387">
      <w:pPr>
        <w:pStyle w:val="Prrafodelista"/>
        <w:widowControl w:val="0"/>
        <w:numPr>
          <w:ilvl w:val="1"/>
          <w:numId w:val="7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B44550">
        <w:rPr>
          <w:rFonts w:ascii="Arial Narrow" w:eastAsia="Times New Roman" w:hAnsi="Arial Narrow" w:cs="Times New Roman"/>
          <w:b/>
          <w:bCs/>
          <w:lang w:eastAsia="es-ES"/>
        </w:rPr>
        <w:t>INEXISTENCIA DE UN REGLAMENTO PARA REALIZAR TRANSFERENCIAS PÚBLICO-PRIVADAS DE CAPITAL PARA PROYECTOS DE INVERSIÓN CONFORME LO EXIGE LA NORMATIVA VIGENTE.</w:t>
      </w:r>
    </w:p>
    <w:p w:rsidR="00417387" w:rsidRDefault="00417387" w:rsidP="00417387">
      <w:pPr>
        <w:pStyle w:val="Prrafodelista"/>
        <w:widowControl w:val="0"/>
        <w:numPr>
          <w:ilvl w:val="1"/>
          <w:numId w:val="15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3E7478">
        <w:rPr>
          <w:rFonts w:ascii="Arial Narrow" w:eastAsia="Times New Roman" w:hAnsi="Arial Narrow" w:cs="Times New Roman"/>
          <w:b/>
          <w:bCs/>
          <w:lang w:eastAsia="es-ES"/>
        </w:rPr>
        <w:t>AUSENCIA DE DOCUMENTO QUE EFECTÚE LA RESERVA DEL EFECTIVO</w:t>
      </w:r>
    </w:p>
    <w:p w:rsidR="00417387" w:rsidRDefault="00417387" w:rsidP="00417387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</w:p>
    <w:p w:rsidR="00417387" w:rsidRPr="006579EA" w:rsidRDefault="00417387" w:rsidP="00417387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u w:val="single"/>
          <w:lang w:eastAsia="es-ES"/>
        </w:rPr>
      </w:pPr>
      <w:r w:rsidRPr="006579EA">
        <w:rPr>
          <w:rFonts w:ascii="Arial Narrow" w:eastAsia="Times New Roman" w:hAnsi="Arial Narrow" w:cs="Times New Roman"/>
          <w:b/>
          <w:bCs/>
          <w:u w:val="single"/>
          <w:lang w:eastAsia="es-ES"/>
        </w:rPr>
        <w:t xml:space="preserve">Recomendación No Aplicable. - </w:t>
      </w:r>
    </w:p>
    <w:p w:rsidR="00417387" w:rsidRPr="006579EA" w:rsidRDefault="00417387" w:rsidP="00417387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</w:p>
    <w:p w:rsidR="00417387" w:rsidRPr="003E7478" w:rsidRDefault="00417387" w:rsidP="00417387">
      <w:pPr>
        <w:pStyle w:val="Prrafodelista"/>
        <w:widowControl w:val="0"/>
        <w:numPr>
          <w:ilvl w:val="1"/>
          <w:numId w:val="11"/>
        </w:numPr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0"/>
          <w:lang w:eastAsia="es-ES"/>
        </w:rPr>
      </w:pPr>
      <w:r w:rsidRPr="003E7478">
        <w:rPr>
          <w:rFonts w:ascii="Arial Narrow" w:eastAsia="Times New Roman" w:hAnsi="Arial Narrow" w:cs="Times New Roman"/>
          <w:b/>
          <w:bCs/>
          <w:lang w:eastAsia="es-ES"/>
        </w:rPr>
        <w:t>EXTEMPORÁNEA E INSUFICIENTE PRESENTACIÓN DE DOCUMENTACIÓN DE RESPALDO DE SALDOS INICIALES</w:t>
      </w:r>
    </w:p>
    <w:p w:rsidR="00506EC8" w:rsidRDefault="00506EC8"/>
    <w:p w:rsidR="00A06F2B" w:rsidRDefault="00A06F2B"/>
    <w:p w:rsidR="00A06F2B" w:rsidRPr="00A06F2B" w:rsidRDefault="00A06F2B" w:rsidP="00A06F2B">
      <w:pPr>
        <w:jc w:val="center"/>
        <w:rPr>
          <w:rFonts w:ascii="Arial Narrow" w:hAnsi="Arial Narrow"/>
        </w:rPr>
      </w:pPr>
      <w:r w:rsidRPr="00A06F2B">
        <w:rPr>
          <w:rFonts w:ascii="Arial Narrow" w:hAnsi="Arial Narrow"/>
        </w:rPr>
        <w:t xml:space="preserve">Sucre, </w:t>
      </w:r>
      <w:r>
        <w:rPr>
          <w:rFonts w:ascii="Arial Narrow" w:hAnsi="Arial Narrow"/>
        </w:rPr>
        <w:t>junio</w:t>
      </w:r>
      <w:r w:rsidRPr="00A06F2B">
        <w:rPr>
          <w:rFonts w:ascii="Arial Narrow" w:hAnsi="Arial Narrow"/>
        </w:rPr>
        <w:t xml:space="preserve"> de 2023</w:t>
      </w:r>
    </w:p>
    <w:sectPr w:rsidR="00A06F2B" w:rsidRPr="00A06F2B" w:rsidSect="00A06F2B">
      <w:pgSz w:w="12240" w:h="20160" w:code="5"/>
      <w:pgMar w:top="1417" w:right="1183" w:bottom="24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E07"/>
    <w:multiLevelType w:val="multilevel"/>
    <w:tmpl w:val="4F7C98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DB2085"/>
    <w:multiLevelType w:val="multilevel"/>
    <w:tmpl w:val="72E07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D370C1"/>
    <w:multiLevelType w:val="multilevel"/>
    <w:tmpl w:val="3B8A7352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35"/>
      <w:numFmt w:val="decimal"/>
      <w:lvlText w:val="%1.%2"/>
      <w:lvlJc w:val="left"/>
      <w:pPr>
        <w:ind w:left="375" w:hanging="375"/>
      </w:pPr>
      <w:rPr>
        <w:rFonts w:ascii="Arial Narrow" w:eastAsiaTheme="minorHAnsi" w:hAnsi="Arial Narrow" w:cstheme="minorBid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3" w15:restartNumberingAfterBreak="0">
    <w:nsid w:val="23605B77"/>
    <w:multiLevelType w:val="multilevel"/>
    <w:tmpl w:val="4CFE0C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952D5A"/>
    <w:multiLevelType w:val="multilevel"/>
    <w:tmpl w:val="173C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443847"/>
    <w:multiLevelType w:val="multilevel"/>
    <w:tmpl w:val="6DDAA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9DD1D6E"/>
    <w:multiLevelType w:val="multilevel"/>
    <w:tmpl w:val="8CA8A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5F325FF"/>
    <w:multiLevelType w:val="multilevel"/>
    <w:tmpl w:val="A5F681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2134F8"/>
    <w:multiLevelType w:val="multilevel"/>
    <w:tmpl w:val="9C1C43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AF50C82"/>
    <w:multiLevelType w:val="multilevel"/>
    <w:tmpl w:val="2DCA21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3E5574E"/>
    <w:multiLevelType w:val="multilevel"/>
    <w:tmpl w:val="2780C4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52723F7"/>
    <w:multiLevelType w:val="multilevel"/>
    <w:tmpl w:val="D36EA5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8AC312E"/>
    <w:multiLevelType w:val="multilevel"/>
    <w:tmpl w:val="C3645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AF5589A"/>
    <w:multiLevelType w:val="multilevel"/>
    <w:tmpl w:val="C464E1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F970E39"/>
    <w:multiLevelType w:val="multilevel"/>
    <w:tmpl w:val="C8CAA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39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num w:numId="1" w16cid:durableId="1687290871">
    <w:abstractNumId w:val="5"/>
  </w:num>
  <w:num w:numId="2" w16cid:durableId="1486047401">
    <w:abstractNumId w:val="4"/>
  </w:num>
  <w:num w:numId="3" w16cid:durableId="758600990">
    <w:abstractNumId w:val="7"/>
  </w:num>
  <w:num w:numId="4" w16cid:durableId="853229602">
    <w:abstractNumId w:val="12"/>
  </w:num>
  <w:num w:numId="5" w16cid:durableId="625042217">
    <w:abstractNumId w:val="0"/>
  </w:num>
  <w:num w:numId="6" w16cid:durableId="1606158080">
    <w:abstractNumId w:val="14"/>
  </w:num>
  <w:num w:numId="7" w16cid:durableId="986476562">
    <w:abstractNumId w:val="11"/>
  </w:num>
  <w:num w:numId="8" w16cid:durableId="539514411">
    <w:abstractNumId w:val="10"/>
  </w:num>
  <w:num w:numId="9" w16cid:durableId="1892692626">
    <w:abstractNumId w:val="8"/>
  </w:num>
  <w:num w:numId="10" w16cid:durableId="910654664">
    <w:abstractNumId w:val="9"/>
  </w:num>
  <w:num w:numId="11" w16cid:durableId="1433740406">
    <w:abstractNumId w:val="2"/>
  </w:num>
  <w:num w:numId="12" w16cid:durableId="60183156">
    <w:abstractNumId w:val="15"/>
  </w:num>
  <w:num w:numId="13" w16cid:durableId="1683047196">
    <w:abstractNumId w:val="13"/>
  </w:num>
  <w:num w:numId="14" w16cid:durableId="1108816550">
    <w:abstractNumId w:val="6"/>
  </w:num>
  <w:num w:numId="15" w16cid:durableId="1162232510">
    <w:abstractNumId w:val="1"/>
  </w:num>
  <w:num w:numId="16" w16cid:durableId="1036321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87"/>
    <w:rsid w:val="00417387"/>
    <w:rsid w:val="00474C17"/>
    <w:rsid w:val="00506EC8"/>
    <w:rsid w:val="00A0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173B"/>
  <w15:chartTrackingRefBased/>
  <w15:docId w15:val="{EDD78816-3673-4F8E-ADA5-5594C4BE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87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417387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41738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Andrea Pérez Revollo</dc:creator>
  <cp:keywords/>
  <dc:description/>
  <cp:lastModifiedBy>Carla Andrea Pérez Revollo</cp:lastModifiedBy>
  <cp:revision>2</cp:revision>
  <dcterms:created xsi:type="dcterms:W3CDTF">2023-06-07T15:45:00Z</dcterms:created>
  <dcterms:modified xsi:type="dcterms:W3CDTF">2023-06-07T15:49:00Z</dcterms:modified>
</cp:coreProperties>
</file>