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39" w:rsidRDefault="00F73439" w:rsidP="00F73439">
      <w:pPr>
        <w:pStyle w:val="Sinespaciado"/>
        <w:jc w:val="center"/>
        <w:rPr>
          <w:rFonts w:ascii="Arial Narrow" w:hAnsi="Arial Narrow" w:cs="Times New Roman"/>
          <w:b/>
        </w:rPr>
      </w:pPr>
      <w:r w:rsidRPr="00C909A0">
        <w:rPr>
          <w:rFonts w:ascii="Arial Narrow" w:hAnsi="Arial Narrow" w:cs="Times New Roman"/>
          <w:b/>
        </w:rPr>
        <w:t>RESUMEN EJECUTIVO</w:t>
      </w:r>
    </w:p>
    <w:p w:rsidR="00F73439" w:rsidRDefault="00F73439" w:rsidP="00F73439">
      <w:pPr>
        <w:pStyle w:val="Sinespaciado"/>
        <w:jc w:val="center"/>
        <w:rPr>
          <w:rFonts w:ascii="Arial Narrow" w:hAnsi="Arial Narrow" w:cs="Times New Roman"/>
          <w:b/>
        </w:rPr>
      </w:pPr>
    </w:p>
    <w:p w:rsidR="00F73439" w:rsidRDefault="00F73439" w:rsidP="00F73439">
      <w:pPr>
        <w:tabs>
          <w:tab w:val="left" w:pos="567"/>
          <w:tab w:val="left" w:pos="709"/>
        </w:tabs>
        <w:jc w:val="both"/>
        <w:rPr>
          <w:rFonts w:ascii="Times New Roman" w:eastAsia="MingLiU_HKSCS-ExtB" w:hAnsi="Times New Roman" w:cs="Times New Roman"/>
          <w:color w:val="000000" w:themeColor="text1"/>
          <w:lang w:eastAsia="es-ES"/>
        </w:rPr>
      </w:pPr>
    </w:p>
    <w:p w:rsidR="00F73439" w:rsidRPr="00FA501E" w:rsidRDefault="00F73439" w:rsidP="00F73439">
      <w:pPr>
        <w:tabs>
          <w:tab w:val="left" w:pos="2268"/>
        </w:tabs>
        <w:spacing w:line="276" w:lineRule="auto"/>
        <w:ind w:right="89"/>
        <w:jc w:val="both"/>
        <w:rPr>
          <w:rFonts w:ascii="Times New Roman" w:hAnsi="Times New Roman" w:cs="Times New Roman"/>
        </w:rPr>
      </w:pPr>
      <w:r w:rsidRPr="00E93E04">
        <w:rPr>
          <w:rFonts w:ascii="Times New Roman" w:hAnsi="Times New Roman" w:cs="Times New Roman"/>
        </w:rPr>
        <w:t>En cumplimiento a la Comunicación Interna Nº 481/2023 de fecha 11 de agosto de 2023, emitida por el Alcalde Dr. Enrique Leaño Palenque</w:t>
      </w:r>
      <w:r>
        <w:rPr>
          <w:rFonts w:ascii="Times New Roman" w:hAnsi="Times New Roman" w:cs="Times New Roman"/>
        </w:rPr>
        <w:t>, emergente de la nota</w:t>
      </w:r>
      <w:r w:rsidRPr="00E93E04">
        <w:rPr>
          <w:rFonts w:ascii="Times New Roman" w:hAnsi="Times New Roman" w:cs="Times New Roman"/>
        </w:rPr>
        <w:t xml:space="preserve"> C.M.S. Alc. 404/2023 con Registro Municipal C-4493 </w:t>
      </w:r>
      <w:r>
        <w:rPr>
          <w:rFonts w:ascii="Times New Roman" w:hAnsi="Times New Roman" w:cs="Times New Roman"/>
        </w:rPr>
        <w:t xml:space="preserve">firmado por el Presidente del Concejo Municipal de Sucre Abog. Yolanda Edith Barrios Villa </w:t>
      </w:r>
      <w:r w:rsidRPr="00E93E04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 xml:space="preserve">describe: </w:t>
      </w:r>
      <w:r w:rsidRPr="00E93E0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i/>
        </w:rPr>
        <w:t xml:space="preserve">Solicito a su autoridad instruir que la Dirección de Auditoria Interna del G.A.M.S.; de conformidad con el Art. 15 de la Ley 1178, ley de Administración y Control Gubernamental, se practique </w:t>
      </w:r>
      <w:r w:rsidRPr="00E93E04">
        <w:rPr>
          <w:rFonts w:ascii="Times New Roman" w:hAnsi="Times New Roman" w:cs="Times New Roman"/>
          <w:i/>
        </w:rPr>
        <w:t>AUDITORIA ESPECIAL</w:t>
      </w:r>
      <w:r>
        <w:rPr>
          <w:rFonts w:ascii="Times New Roman" w:hAnsi="Times New Roman" w:cs="Times New Roman"/>
          <w:i/>
        </w:rPr>
        <w:t xml:space="preserve"> (Interna)</w:t>
      </w:r>
      <w:r w:rsidRPr="00E93E0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n</w:t>
      </w:r>
      <w:r w:rsidRPr="00E93E04">
        <w:rPr>
          <w:rFonts w:ascii="Times New Roman" w:hAnsi="Times New Roman" w:cs="Times New Roman"/>
          <w:i/>
        </w:rPr>
        <w:t xml:space="preserve">o </w:t>
      </w:r>
      <w:r>
        <w:rPr>
          <w:rFonts w:ascii="Times New Roman" w:hAnsi="Times New Roman" w:cs="Times New Roman"/>
          <w:i/>
        </w:rPr>
        <w:t>p</w:t>
      </w:r>
      <w:r w:rsidRPr="00E93E04">
        <w:rPr>
          <w:rFonts w:ascii="Times New Roman" w:hAnsi="Times New Roman" w:cs="Times New Roman"/>
          <w:i/>
        </w:rPr>
        <w:t>rogramada</w:t>
      </w:r>
      <w:r>
        <w:rPr>
          <w:rFonts w:ascii="Times New Roman" w:hAnsi="Times New Roman" w:cs="Times New Roman"/>
          <w:i/>
        </w:rPr>
        <w:t xml:space="preserve">, a la </w:t>
      </w:r>
      <w:r w:rsidRPr="00E93E04">
        <w:rPr>
          <w:rFonts w:ascii="Times New Roman" w:hAnsi="Times New Roman" w:cs="Times New Roman"/>
          <w:i/>
        </w:rPr>
        <w:t xml:space="preserve">Directiva Saliente del Concejo Municipal de julio 2022 a julio 2023 </w:t>
      </w:r>
      <w:r>
        <w:rPr>
          <w:rFonts w:ascii="Times New Roman" w:hAnsi="Times New Roman" w:cs="Times New Roman"/>
          <w:i/>
        </w:rPr>
        <w:t xml:space="preserve">sobre los siguientes puntos: </w:t>
      </w:r>
      <w:r w:rsidRPr="00E93E04">
        <w:rPr>
          <w:rFonts w:ascii="Times New Roman" w:hAnsi="Times New Roman" w:cs="Times New Roman"/>
          <w:i/>
        </w:rPr>
        <w:t xml:space="preserve">Procesos de Contratación de Bienes y Servicios, Gastos de Funcionamiento, </w:t>
      </w:r>
      <w:r>
        <w:rPr>
          <w:rFonts w:ascii="Times New Roman" w:hAnsi="Times New Roman" w:cs="Times New Roman"/>
          <w:i/>
        </w:rPr>
        <w:t>Contratación de Personal”</w:t>
      </w:r>
      <w:r w:rsidRPr="00E93E04">
        <w:rPr>
          <w:rFonts w:ascii="Times New Roman" w:hAnsi="Times New Roman" w:cs="Times New Roman"/>
          <w:i/>
        </w:rPr>
        <w:t xml:space="preserve"> </w:t>
      </w:r>
      <w:r w:rsidRPr="00E93E04"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</w:rPr>
        <w:t>Comunicación Interna CITE Nº 62/2024 de fecha 19 de abril de 2024</w:t>
      </w:r>
      <w:r w:rsidRPr="00E93E04">
        <w:rPr>
          <w:rFonts w:ascii="Times New Roman" w:hAnsi="Times New Roman" w:cs="Times New Roman"/>
        </w:rPr>
        <w:t xml:space="preserve"> emitida por la Dirección de Auditoria Interna </w:t>
      </w:r>
      <w:r w:rsidRPr="00E93E04">
        <w:rPr>
          <w:rFonts w:ascii="Times New Roman" w:hAnsi="Times New Roman" w:cs="Times New Roman"/>
          <w:color w:val="FF0000"/>
        </w:rPr>
        <w:t xml:space="preserve"> </w:t>
      </w:r>
      <w:r w:rsidRPr="00E93E04">
        <w:rPr>
          <w:rFonts w:ascii="Times New Roman" w:hAnsi="Times New Roman" w:cs="Times New Roman"/>
        </w:rPr>
        <w:t xml:space="preserve">instruye ejecutar la </w:t>
      </w:r>
      <w:r w:rsidRPr="00E93E04">
        <w:rPr>
          <w:rFonts w:ascii="Times New Roman" w:hAnsi="Times New Roman" w:cs="Times New Roman"/>
          <w:b/>
        </w:rPr>
        <w:t>“AUDITORIA DE CUMPLIMIENTO A LA DIRECTIVA SALIENTE DEL CONCEJO MUNICIPAL DE SUCRE, RESPECTO A LOS PROCESO</w:t>
      </w:r>
      <w:r>
        <w:rPr>
          <w:rFonts w:ascii="Times New Roman" w:hAnsi="Times New Roman" w:cs="Times New Roman"/>
          <w:b/>
        </w:rPr>
        <w:t>S</w:t>
      </w:r>
      <w:r w:rsidRPr="00E93E04">
        <w:rPr>
          <w:rFonts w:ascii="Times New Roman" w:hAnsi="Times New Roman" w:cs="Times New Roman"/>
          <w:b/>
        </w:rPr>
        <w:t xml:space="preserve"> DE CONTRATACIÓN DE BIENES Y SERVICIOS, GASTOS DE FUNCIONAMIENTO Y DEL PERSONAL DENTRO DEL CONCEJO, DESDE JULIO DE 2022 A JULIO 2023</w:t>
      </w:r>
      <w:r w:rsidRPr="00E93E04">
        <w:rPr>
          <w:rFonts w:ascii="Times New Roman" w:eastAsia="Calibri" w:hAnsi="Times New Roman" w:cs="Times New Roman"/>
          <w:b/>
        </w:rPr>
        <w:t>”</w:t>
      </w:r>
      <w:r w:rsidRPr="00E93E04">
        <w:rPr>
          <w:rFonts w:ascii="Times New Roman" w:hAnsi="Times New Roman" w:cs="Times New Roman"/>
          <w:b/>
        </w:rPr>
        <w:t xml:space="preserve">, </w:t>
      </w:r>
      <w:r w:rsidRPr="00FA501E">
        <w:rPr>
          <w:rFonts w:ascii="Times New Roman" w:hAnsi="Times New Roman" w:cs="Times New Roman"/>
        </w:rPr>
        <w:t>y</w:t>
      </w:r>
      <w:r w:rsidRPr="00FA501E">
        <w:rPr>
          <w:rFonts w:ascii="Times New Roman" w:hAnsi="Times New Roman" w:cs="Times New Roman"/>
          <w:b/>
        </w:rPr>
        <w:t xml:space="preserve"> </w:t>
      </w:r>
      <w:r w:rsidRPr="00FA501E">
        <w:rPr>
          <w:rFonts w:ascii="Times New Roman" w:hAnsi="Times New Roman" w:cs="Times New Roman"/>
        </w:rPr>
        <w:t xml:space="preserve">en aplicación a las Normas Generales de Auditoria Gubernamental aprobado con Resolución N° CGE/094/2012 </w:t>
      </w:r>
      <w:r>
        <w:rPr>
          <w:rFonts w:ascii="Times New Roman" w:hAnsi="Times New Roman" w:cs="Times New Roman"/>
        </w:rPr>
        <w:t xml:space="preserve"> de fecha 27 de agosto de 2012 </w:t>
      </w:r>
      <w:r w:rsidRPr="00FA501E">
        <w:rPr>
          <w:rFonts w:ascii="Times New Roman" w:hAnsi="Times New Roman" w:cs="Times New Roman"/>
        </w:rPr>
        <w:t>de la Contraloría General de Estado</w:t>
      </w:r>
      <w:r>
        <w:rPr>
          <w:rFonts w:ascii="Times New Roman" w:hAnsi="Times New Roman" w:cs="Times New Roman"/>
        </w:rPr>
        <w:t>, N</w:t>
      </w:r>
      <w:r w:rsidRPr="00FA501E">
        <w:rPr>
          <w:rFonts w:ascii="Times New Roman" w:hAnsi="Times New Roman" w:cs="Times New Roman"/>
        </w:rPr>
        <w:t>orma 217.03 (</w:t>
      </w:r>
      <w:r w:rsidRPr="00FA501E">
        <w:rPr>
          <w:rFonts w:ascii="Times New Roman" w:hAnsi="Times New Roman" w:cs="Times New Roman"/>
          <w:b/>
        </w:rPr>
        <w:t>Relevamiento de Información Específica)</w:t>
      </w:r>
      <w:r w:rsidRPr="00FA501E">
        <w:rPr>
          <w:rFonts w:ascii="Times New Roman" w:hAnsi="Times New Roman" w:cs="Times New Roman"/>
        </w:rPr>
        <w:t xml:space="preserve"> indica: “</w:t>
      </w:r>
      <w:r w:rsidRPr="00FA501E">
        <w:rPr>
          <w:rFonts w:ascii="Times New Roman" w:hAnsi="Times New Roman" w:cs="Times New Roman"/>
          <w:i/>
          <w:iCs/>
        </w:rPr>
        <w:t>Consiste en la recopilación y evaluación de la información, a fin de tener una apreciación preliminar del área, programa, convenio, contrato, actividad, operación o proceso objeto de la auditoria, a fin de determinar la auditabilidad</w:t>
      </w:r>
      <w:r w:rsidRPr="00FA501E">
        <w:rPr>
          <w:rFonts w:ascii="Times New Roman" w:hAnsi="Times New Roman" w:cs="Times New Roman"/>
        </w:rPr>
        <w:t>”</w:t>
      </w:r>
      <w:r w:rsidRPr="00FA501E">
        <w:rPr>
          <w:rFonts w:ascii="Times New Roman" w:hAnsi="Times New Roman" w:cs="Times New Roman"/>
          <w:color w:val="000000"/>
        </w:rPr>
        <w:t>,</w:t>
      </w:r>
      <w:r w:rsidRPr="00FA501E">
        <w:rPr>
          <w:rFonts w:ascii="Times New Roman" w:hAnsi="Times New Roman" w:cs="Times New Roman"/>
        </w:rPr>
        <w:t xml:space="preserve"> se emite el presente informe.</w:t>
      </w:r>
    </w:p>
    <w:p w:rsidR="00F73439" w:rsidRPr="00CD1BFB" w:rsidRDefault="00F73439" w:rsidP="00F73439">
      <w:pPr>
        <w:tabs>
          <w:tab w:val="left" w:pos="567"/>
          <w:tab w:val="left" w:pos="709"/>
        </w:tabs>
        <w:jc w:val="both"/>
        <w:rPr>
          <w:rFonts w:ascii="Times New Roman" w:eastAsia="MingLiU_HKSCS-ExtB" w:hAnsi="Times New Roman" w:cs="Times New Roman"/>
          <w:color w:val="000000" w:themeColor="text1"/>
          <w:lang w:eastAsia="es-ES"/>
        </w:rPr>
      </w:pPr>
    </w:p>
    <w:p w:rsidR="00F73439" w:rsidRDefault="00F73439" w:rsidP="00F73439">
      <w:pPr>
        <w:pStyle w:val="Sinespaciado"/>
        <w:jc w:val="both"/>
        <w:outlineLvl w:val="0"/>
        <w:rPr>
          <w:rFonts w:ascii="Times New Roman" w:hAnsi="Times New Roman" w:cs="Times New Roman"/>
          <w:b/>
        </w:rPr>
      </w:pPr>
      <w:bookmarkStart w:id="0" w:name="_Toc116566864"/>
      <w:r w:rsidRPr="00CD1BFB">
        <w:rPr>
          <w:rFonts w:ascii="Times New Roman" w:hAnsi="Times New Roman" w:cs="Times New Roman"/>
          <w:b/>
        </w:rPr>
        <w:t>OBJETIVO</w:t>
      </w:r>
      <w:bookmarkEnd w:id="0"/>
    </w:p>
    <w:p w:rsidR="00F73439" w:rsidRDefault="00F73439" w:rsidP="00F73439">
      <w:pPr>
        <w:pStyle w:val="Piedepgina"/>
        <w:jc w:val="both"/>
        <w:rPr>
          <w:rFonts w:ascii="Times New Roman" w:hAnsi="Times New Roman" w:cs="Times New Roman"/>
          <w:b/>
        </w:rPr>
      </w:pPr>
    </w:p>
    <w:p w:rsidR="00F73439" w:rsidRPr="00E710F1" w:rsidRDefault="00F73439" w:rsidP="00F73439">
      <w:pPr>
        <w:pStyle w:val="Piedepgina"/>
        <w:jc w:val="both"/>
        <w:rPr>
          <w:rFonts w:ascii="Times New Roman" w:hAnsi="Times New Roman" w:cs="Times New Roman"/>
        </w:rPr>
      </w:pPr>
      <w:r w:rsidRPr="00E710F1">
        <w:rPr>
          <w:rFonts w:ascii="Times New Roman" w:hAnsi="Times New Roman" w:cs="Times New Roman"/>
          <w:color w:val="000000"/>
        </w:rPr>
        <w:t xml:space="preserve">El objetivo del Relevamiento de Información Específica es recopilar verificar y evaluar la información, a fin de identificar hallazgos relevantes, referentes </w:t>
      </w:r>
      <w:r w:rsidRPr="00E710F1">
        <w:rPr>
          <w:rFonts w:ascii="Times New Roman" w:hAnsi="Times New Roman" w:cs="Times New Roman"/>
        </w:rPr>
        <w:t xml:space="preserve">a los Procesos de </w:t>
      </w:r>
      <w:bookmarkStart w:id="1" w:name="_GoBack"/>
      <w:bookmarkEnd w:id="1"/>
      <w:r w:rsidRPr="00E710F1">
        <w:rPr>
          <w:rFonts w:ascii="Times New Roman" w:hAnsi="Times New Roman" w:cs="Times New Roman"/>
        </w:rPr>
        <w:t>Contratación de Bienes y Servicios, Gastos de Funcionamiento y del Personal dentro del Concejo, desde julio de 2022 a julio 2023, para determinar su Auditabilidad.</w:t>
      </w:r>
    </w:p>
    <w:p w:rsidR="00F73439" w:rsidRPr="00CD1BFB" w:rsidRDefault="00F73439" w:rsidP="00F73439">
      <w:pPr>
        <w:pStyle w:val="Sinespaciado"/>
        <w:jc w:val="both"/>
        <w:outlineLvl w:val="0"/>
        <w:rPr>
          <w:rFonts w:ascii="Times New Roman" w:hAnsi="Times New Roman" w:cs="Times New Roman"/>
          <w:b/>
        </w:rPr>
      </w:pPr>
    </w:p>
    <w:p w:rsidR="00F73439" w:rsidRPr="00CD1BFB" w:rsidRDefault="00F73439" w:rsidP="00F73439">
      <w:pPr>
        <w:pStyle w:val="Sinespaciado"/>
        <w:jc w:val="both"/>
        <w:outlineLvl w:val="0"/>
        <w:rPr>
          <w:rFonts w:ascii="Times New Roman" w:hAnsi="Times New Roman" w:cs="Times New Roman"/>
          <w:b/>
        </w:rPr>
      </w:pPr>
      <w:bookmarkStart w:id="2" w:name="_Toc116566865"/>
      <w:r w:rsidRPr="00CD1BFB">
        <w:rPr>
          <w:rFonts w:ascii="Times New Roman" w:hAnsi="Times New Roman" w:cs="Times New Roman"/>
          <w:b/>
        </w:rPr>
        <w:t>OBJETO</w:t>
      </w:r>
      <w:bookmarkEnd w:id="2"/>
    </w:p>
    <w:p w:rsidR="00F73439" w:rsidRPr="00CD1BFB" w:rsidRDefault="00F73439" w:rsidP="00F73439">
      <w:pPr>
        <w:pStyle w:val="Sinespaciado"/>
        <w:ind w:left="360"/>
        <w:jc w:val="both"/>
        <w:rPr>
          <w:rFonts w:ascii="Times New Roman" w:hAnsi="Times New Roman" w:cs="Times New Roman"/>
          <w:b/>
        </w:rPr>
      </w:pPr>
    </w:p>
    <w:p w:rsidR="00F73439" w:rsidRPr="00CD1BFB" w:rsidRDefault="00F73439" w:rsidP="00F73439">
      <w:pPr>
        <w:pStyle w:val="Sinespaciado"/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 xml:space="preserve">El objeto del examen el análisis de los documentos de respaldo de las operaciones registradas, correspondientes al periodo sujeto a examen y la información obtenida de fuentes internas y externas relacionadas </w:t>
      </w:r>
      <w:r w:rsidRPr="00275DF8">
        <w:rPr>
          <w:rFonts w:ascii="Times New Roman" w:hAnsi="Times New Roman" w:cs="Times New Roman"/>
        </w:rPr>
        <w:t>con los</w:t>
      </w:r>
      <w:r w:rsidRPr="00275DF8">
        <w:rPr>
          <w:rFonts w:ascii="Times New Roman" w:hAnsi="Times New Roman" w:cs="Times New Roman"/>
          <w:bCs/>
        </w:rPr>
        <w:t xml:space="preserve"> </w:t>
      </w:r>
      <w:r w:rsidRPr="00275DF8">
        <w:rPr>
          <w:rFonts w:ascii="Times New Roman" w:hAnsi="Times New Roman" w:cs="Times New Roman"/>
        </w:rPr>
        <w:t>Proceso de Contratación de Bienes y Servicios, Gastos de Funcionamiento y del Personal dentro del Concejo, desde julio de 2022 a julio 2023</w:t>
      </w:r>
      <w:r w:rsidRPr="00CD1BFB">
        <w:rPr>
          <w:rFonts w:ascii="Times New Roman" w:hAnsi="Times New Roman" w:cs="Times New Roman"/>
        </w:rPr>
        <w:t xml:space="preserve">, </w:t>
      </w:r>
      <w:r w:rsidRPr="00CD1BFB">
        <w:rPr>
          <w:rFonts w:ascii="Times New Roman" w:hAnsi="Times New Roman" w:cs="Times New Roman"/>
          <w:bCs/>
        </w:rPr>
        <w:t>presenta la siguiente documentación:</w:t>
      </w:r>
    </w:p>
    <w:p w:rsidR="00F73439" w:rsidRPr="00CD1BFB" w:rsidRDefault="00F73439" w:rsidP="00F73439">
      <w:pPr>
        <w:pStyle w:val="Sinespaciado"/>
        <w:jc w:val="both"/>
        <w:rPr>
          <w:rFonts w:ascii="Times New Roman" w:hAnsi="Times New Roman" w:cs="Times New Roman"/>
          <w:bCs/>
        </w:rPr>
      </w:pP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Registro de Ejecución de Gastos C-31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Comprobante de Pago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Registro de Beneficiario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Orden de Pago del CMS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Ingreso a Almacén (si corresponde)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Acta de Entrega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Factura original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Orden de Compra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Proforma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Certificación presupuestaria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Perfil del bien y/o servicios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Resolución Autonómica Municipal (viáticos)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Invitación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Boletos de viaje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Informe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Planilla Mensual de Sueldos del SIGEP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lastRenderedPageBreak/>
        <w:t>Aporte a la AFP Previsión, Futuro de Bolivia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Comprobante de pago a la Caja Nacional de Salud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Contrato Administrativo de Publicidad</w:t>
      </w:r>
    </w:p>
    <w:p w:rsidR="00F73439" w:rsidRPr="00CD1BFB" w:rsidRDefault="00F73439" w:rsidP="00F7343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BFB">
        <w:rPr>
          <w:rFonts w:ascii="Times New Roman" w:hAnsi="Times New Roman" w:cs="Times New Roman"/>
        </w:rPr>
        <w:t>Otra documentación referente a la auditoria</w:t>
      </w:r>
    </w:p>
    <w:p w:rsidR="00F73439" w:rsidRPr="00CD1BFB" w:rsidRDefault="00F73439" w:rsidP="00F73439">
      <w:pPr>
        <w:pStyle w:val="Sinespaciado"/>
        <w:jc w:val="both"/>
        <w:rPr>
          <w:rFonts w:ascii="Times New Roman" w:hAnsi="Times New Roman" w:cs="Times New Roman"/>
        </w:rPr>
      </w:pPr>
    </w:p>
    <w:p w:rsidR="00F73439" w:rsidRDefault="00F73439" w:rsidP="00F73439">
      <w:pPr>
        <w:pStyle w:val="Sinespaciado"/>
        <w:jc w:val="both"/>
        <w:outlineLvl w:val="0"/>
        <w:rPr>
          <w:rFonts w:ascii="Times New Roman" w:hAnsi="Times New Roman" w:cs="Times New Roman"/>
          <w:b/>
        </w:rPr>
      </w:pPr>
      <w:r w:rsidRPr="00CD1BFB">
        <w:rPr>
          <w:rFonts w:ascii="Times New Roman" w:hAnsi="Times New Roman" w:cs="Times New Roman"/>
          <w:b/>
        </w:rPr>
        <w:t>CONCLUSIÓN</w:t>
      </w:r>
    </w:p>
    <w:p w:rsidR="00F73439" w:rsidRDefault="00F73439" w:rsidP="00F73439">
      <w:pPr>
        <w:pStyle w:val="Sinespaciado"/>
        <w:jc w:val="both"/>
        <w:outlineLvl w:val="0"/>
        <w:rPr>
          <w:rFonts w:ascii="Times New Roman" w:hAnsi="Times New Roman" w:cs="Times New Roman"/>
          <w:b/>
        </w:rPr>
      </w:pPr>
    </w:p>
    <w:p w:rsidR="00F73439" w:rsidRDefault="00F73439" w:rsidP="00F73439">
      <w:pPr>
        <w:pStyle w:val="Sinespaciado"/>
        <w:jc w:val="both"/>
        <w:outlineLvl w:val="0"/>
        <w:rPr>
          <w:rFonts w:ascii="Times New Roman" w:hAnsi="Times New Roman" w:cs="Times New Roman"/>
          <w:b/>
        </w:rPr>
      </w:pPr>
      <w:r w:rsidRPr="00460E16">
        <w:rPr>
          <w:rFonts w:ascii="Times New Roman" w:hAnsi="Times New Roman" w:cs="Times New Roman"/>
        </w:rPr>
        <w:t>Como resultado del Relevamiento de Información Específica, el mismo que consistió en el análisis</w:t>
      </w:r>
      <w:r>
        <w:rPr>
          <w:rFonts w:ascii="Times New Roman" w:hAnsi="Times New Roman" w:cs="Times New Roman"/>
        </w:rPr>
        <w:t>,</w:t>
      </w:r>
    </w:p>
    <w:p w:rsidR="00F73439" w:rsidRPr="00460E16" w:rsidRDefault="00F73439" w:rsidP="00F73439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60E16">
        <w:rPr>
          <w:rFonts w:ascii="Times New Roman" w:hAnsi="Times New Roman" w:cs="Times New Roman"/>
        </w:rPr>
        <w:t>revisión y evaluación de la documentación que respalda a los Procesos de Contratación de Bienes y Servicios, Gastos de Funcionamiento y del Personal dentro del Concejo, del period</w:t>
      </w:r>
      <w:r>
        <w:rPr>
          <w:rFonts w:ascii="Times New Roman" w:hAnsi="Times New Roman" w:cs="Times New Roman"/>
        </w:rPr>
        <w:t>o de julio de 2022 a julio 2023</w:t>
      </w:r>
      <w:r w:rsidRPr="00832394">
        <w:rPr>
          <w:rFonts w:ascii="Times New Roman" w:hAnsi="Times New Roman" w:cs="Times New Roman"/>
        </w:rPr>
        <w:t>,</w:t>
      </w:r>
      <w:r w:rsidRPr="00832394">
        <w:rPr>
          <w:rFonts w:ascii="Arial Narrow" w:hAnsi="Arial Narrow"/>
        </w:rPr>
        <w:t xml:space="preserve">  </w:t>
      </w:r>
      <w:r w:rsidRPr="00832394">
        <w:rPr>
          <w:rFonts w:ascii="Times New Roman" w:hAnsi="Times New Roman" w:cs="Times New Roman"/>
        </w:rPr>
        <w:t xml:space="preserve">donde no se identifica observaciones relevantes al control interno tampoco se identifica  contravención </w:t>
      </w:r>
      <w:r w:rsidRPr="00460E16">
        <w:rPr>
          <w:rFonts w:ascii="Times New Roman" w:hAnsi="Times New Roman" w:cs="Times New Roman"/>
        </w:rPr>
        <w:t xml:space="preserve">al ordenamiento jurídico administrativo como a los Reglamentos del Concejo Municipal de Sucre y </w:t>
      </w:r>
      <w:r>
        <w:rPr>
          <w:rFonts w:ascii="Times New Roman" w:hAnsi="Times New Roman" w:cs="Times New Roman"/>
        </w:rPr>
        <w:t xml:space="preserve">las </w:t>
      </w:r>
      <w:r w:rsidRPr="00460E16">
        <w:rPr>
          <w:rFonts w:ascii="Times New Roman" w:hAnsi="Times New Roman" w:cs="Times New Roman"/>
          <w:snapToGrid w:val="0"/>
          <w:lang w:eastAsia="es-BO"/>
        </w:rPr>
        <w:t>Normas Básicas del Sistema de Administración de Bienes y Servicios aprobado con D.S. 0181</w:t>
      </w:r>
      <w:r w:rsidRPr="00460E16">
        <w:rPr>
          <w:rFonts w:ascii="Times New Roman" w:hAnsi="Times New Roman" w:cs="Times New Roman"/>
        </w:rPr>
        <w:t>,  por lo que se concluye que estos Procesos de Contratación de Bienes y Servicios, Gastos de funcionamiento del Personal,</w:t>
      </w:r>
      <w:r>
        <w:rPr>
          <w:rFonts w:ascii="Times New Roman" w:hAnsi="Times New Roman" w:cs="Times New Roman"/>
        </w:rPr>
        <w:t xml:space="preserve"> cuentan con </w:t>
      </w:r>
      <w:r w:rsidRPr="00460E16">
        <w:rPr>
          <w:rFonts w:ascii="Times New Roman" w:hAnsi="Times New Roman" w:cs="Times New Roman"/>
        </w:rPr>
        <w:t xml:space="preserve">documentación de respaldo suficiente, </w:t>
      </w:r>
      <w:r>
        <w:rPr>
          <w:rFonts w:ascii="Times New Roman" w:hAnsi="Times New Roman" w:cs="Times New Roman"/>
        </w:rPr>
        <w:t xml:space="preserve">en aplicación a las normas descritas, </w:t>
      </w:r>
      <w:r w:rsidRPr="00460E16">
        <w:rPr>
          <w:rFonts w:ascii="Times New Roman" w:hAnsi="Times New Roman" w:cs="Times New Roman"/>
        </w:rPr>
        <w:t>por lo que NO corresponde su AUDITABILIDAD.</w:t>
      </w:r>
    </w:p>
    <w:p w:rsidR="00F73439" w:rsidRDefault="00F73439" w:rsidP="00F73439">
      <w:pPr>
        <w:pStyle w:val="Sinespaciado"/>
        <w:ind w:left="360"/>
        <w:jc w:val="both"/>
        <w:rPr>
          <w:rFonts w:ascii="Times New Roman" w:hAnsi="Times New Roman" w:cs="Times New Roman"/>
        </w:rPr>
      </w:pPr>
    </w:p>
    <w:p w:rsidR="00F73439" w:rsidRPr="00E8069C" w:rsidRDefault="00F73439" w:rsidP="00F73439">
      <w:pPr>
        <w:tabs>
          <w:tab w:val="left" w:pos="723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069C">
        <w:rPr>
          <w:rFonts w:ascii="Times New Roman" w:hAnsi="Times New Roman" w:cs="Times New Roman"/>
        </w:rPr>
        <w:t>Este relevamiento está sustentado con nota CITE D.A.I INT. Nº 107/2024 de fecha 03 de junio de 2024, emitido por la Profesional Abogado de la Dirección de Auditoria Interna que recomienda: “</w:t>
      </w:r>
      <w:r w:rsidRPr="00E8069C">
        <w:rPr>
          <w:rFonts w:ascii="Times New Roman" w:hAnsi="Times New Roman" w:cs="Times New Roman"/>
          <w:i/>
        </w:rPr>
        <w:t>Una vez subsanadas las observaciones y para evitar dilaciones, en cumplimiento al art. 15 de la Ley 1178 corresponde poner</w:t>
      </w:r>
      <w:r w:rsidRPr="00E8069C">
        <w:rPr>
          <w:rFonts w:ascii="Times New Roman" w:hAnsi="Times New Roman" w:cs="Times New Roman"/>
        </w:rPr>
        <w:t xml:space="preserve"> en </w:t>
      </w:r>
      <w:r w:rsidRPr="00E8069C">
        <w:rPr>
          <w:rFonts w:ascii="Times New Roman" w:hAnsi="Times New Roman" w:cs="Times New Roman"/>
          <w:i/>
        </w:rPr>
        <w:t>poner en conocimiento de la Máxima Autoridad Ejecutiva del Gobierno Autónomo Municipal de Sucre para que por su intermedio se ponga en conocimiento del Concejo Municipal de Sucre”</w:t>
      </w:r>
    </w:p>
    <w:p w:rsidR="00F73439" w:rsidRPr="00E93E04" w:rsidRDefault="00F73439" w:rsidP="00F73439">
      <w:pPr>
        <w:pStyle w:val="Sinespaciado"/>
        <w:ind w:left="360"/>
        <w:jc w:val="both"/>
        <w:rPr>
          <w:rFonts w:ascii="Times New Roman" w:hAnsi="Times New Roman" w:cs="Times New Roman"/>
        </w:rPr>
      </w:pPr>
    </w:p>
    <w:p w:rsidR="00F73439" w:rsidRPr="00AB068E" w:rsidRDefault="00F73439" w:rsidP="00F73439">
      <w:pPr>
        <w:pStyle w:val="Sinespaciado"/>
        <w:jc w:val="both"/>
        <w:rPr>
          <w:rFonts w:ascii="Times New Roman" w:hAnsi="Times New Roman" w:cs="Times New Roman"/>
          <w:lang w:val="es-ES_tradnl"/>
        </w:rPr>
      </w:pPr>
      <w:r w:rsidRPr="00E93E04">
        <w:rPr>
          <w:rFonts w:ascii="Times New Roman" w:hAnsi="Times New Roman" w:cs="Times New Roman"/>
          <w:lang w:val="es-ES_tradnl"/>
        </w:rPr>
        <w:t>En cumplimiento a la Norma 217.03 (</w:t>
      </w:r>
      <w:r w:rsidRPr="00E93E04">
        <w:rPr>
          <w:rFonts w:ascii="Times New Roman" w:hAnsi="Times New Roman" w:cs="Times New Roman"/>
          <w:b/>
          <w:lang w:val="es-ES_tradnl"/>
        </w:rPr>
        <w:t>Relevamiento de Información Específica</w:t>
      </w:r>
      <w:r w:rsidRPr="00E93E04">
        <w:rPr>
          <w:rFonts w:ascii="Times New Roman" w:hAnsi="Times New Roman" w:cs="Times New Roman"/>
          <w:lang w:val="es-ES_tradnl"/>
        </w:rPr>
        <w:t>) de las Normas Generales de Auditoría Gubernamental, aprobadas mediante Res</w:t>
      </w:r>
      <w:r>
        <w:rPr>
          <w:rFonts w:ascii="Times New Roman" w:hAnsi="Times New Roman" w:cs="Times New Roman"/>
          <w:lang w:val="es-ES_tradnl"/>
        </w:rPr>
        <w:t>olución CGE-094/2012 de fecha 27</w:t>
      </w:r>
      <w:r w:rsidRPr="00E93E04">
        <w:rPr>
          <w:rFonts w:ascii="Times New Roman" w:hAnsi="Times New Roman" w:cs="Times New Roman"/>
          <w:lang w:val="es-ES_tradnl"/>
        </w:rPr>
        <w:t xml:space="preserve"> de agosto de 2012, que indica: “…</w:t>
      </w:r>
      <w:r w:rsidRPr="00E93E04">
        <w:rPr>
          <w:rFonts w:ascii="Times New Roman" w:hAnsi="Times New Roman" w:cs="Times New Roman"/>
          <w:i/>
          <w:lang w:val="es-ES_tradnl"/>
        </w:rPr>
        <w:t>Este informe debe ser remitido a la Máxima Autoridad Ejecutiva de la Entidad Auditada y del que ejerce tuición</w:t>
      </w:r>
      <w:r>
        <w:rPr>
          <w:rFonts w:ascii="Times New Roman" w:hAnsi="Times New Roman" w:cs="Times New Roman"/>
          <w:lang w:val="es-ES_tradnl"/>
        </w:rPr>
        <w:t xml:space="preserve">” y </w:t>
      </w:r>
      <w:r>
        <w:rPr>
          <w:rFonts w:ascii="Times New Roman" w:eastAsia="MingLiU_HKSCS-ExtB" w:hAnsi="Times New Roman" w:cs="Times New Roman"/>
          <w:color w:val="000000"/>
        </w:rPr>
        <w:t>artículo 15 de la Ley Nº 1178 que dice: “…</w:t>
      </w:r>
      <w:r w:rsidRPr="00B22578">
        <w:rPr>
          <w:rFonts w:ascii="Times New Roman" w:eastAsia="MingLiU_HKSCS-ExtB" w:hAnsi="Times New Roman" w:cs="Times New Roman"/>
          <w:i/>
          <w:color w:val="000000"/>
        </w:rPr>
        <w:t>Todos los informes deberán ser remitidos inmediatamente después de concluidos a la Máxima Autoridad Colegiada, si la hubiera a la Máxima Autoridad del Ente que ejerce tuición sobre la entidad auditada”</w:t>
      </w:r>
      <w:r>
        <w:rPr>
          <w:rFonts w:ascii="Times New Roman" w:eastAsia="MingLiU_HKSCS-ExtB" w:hAnsi="Times New Roman" w:cs="Times New Roman"/>
          <w:i/>
          <w:color w:val="000000"/>
        </w:rPr>
        <w:t xml:space="preserve">; </w:t>
      </w:r>
      <w:r w:rsidRPr="00063094">
        <w:rPr>
          <w:rFonts w:ascii="Times New Roman" w:eastAsia="MingLiU_HKSCS-ExtB" w:hAnsi="Times New Roman" w:cs="Times New Roman"/>
          <w:color w:val="000000"/>
        </w:rPr>
        <w:t xml:space="preserve">se remite el </w:t>
      </w:r>
      <w:r>
        <w:rPr>
          <w:rFonts w:ascii="Times New Roman" w:eastAsia="MingLiU_HKSCS-ExtB" w:hAnsi="Times New Roman" w:cs="Times New Roman"/>
          <w:color w:val="000000"/>
        </w:rPr>
        <w:t>Relevamiento de I</w:t>
      </w:r>
      <w:r w:rsidRPr="00063094">
        <w:rPr>
          <w:rFonts w:ascii="Times New Roman" w:eastAsia="MingLiU_HKSCS-ExtB" w:hAnsi="Times New Roman" w:cs="Times New Roman"/>
          <w:color w:val="000000"/>
        </w:rPr>
        <w:t>nfor</w:t>
      </w:r>
      <w:r>
        <w:rPr>
          <w:rFonts w:ascii="Times New Roman" w:eastAsia="MingLiU_HKSCS-ExtB" w:hAnsi="Times New Roman" w:cs="Times New Roman"/>
          <w:color w:val="000000"/>
        </w:rPr>
        <w:t>mación Específica y se dé a conocer al Concejo Municipal de Sucre, para su consideración de lo descrito.</w:t>
      </w:r>
    </w:p>
    <w:p w:rsidR="00F73439" w:rsidRPr="00BC107F" w:rsidRDefault="00F73439" w:rsidP="00F73439">
      <w:pPr>
        <w:pStyle w:val="Estilo1"/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FF0000"/>
          <w:lang w:val="es-ES" w:eastAsia="es-BO"/>
        </w:rPr>
      </w:pPr>
    </w:p>
    <w:p w:rsidR="00F73439" w:rsidRDefault="00F73439" w:rsidP="00F73439">
      <w:pPr>
        <w:pStyle w:val="Estilo1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lang w:val="es-ES" w:eastAsia="es-BO"/>
        </w:rPr>
      </w:pPr>
    </w:p>
    <w:p w:rsidR="00F73439" w:rsidRPr="00CD1BFB" w:rsidRDefault="00F73439" w:rsidP="00F73439">
      <w:pPr>
        <w:pStyle w:val="Sinespaciado"/>
        <w:jc w:val="both"/>
        <w:outlineLvl w:val="0"/>
        <w:rPr>
          <w:rFonts w:ascii="Times New Roman" w:hAnsi="Times New Roman" w:cs="Times New Roman"/>
          <w:b/>
        </w:rPr>
      </w:pPr>
    </w:p>
    <w:p w:rsidR="00F73439" w:rsidRDefault="00F73439" w:rsidP="00F734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3439" w:rsidRPr="00CA3648" w:rsidRDefault="00F73439" w:rsidP="00F73439">
      <w:pPr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</w:rPr>
        <w:t>Sucre, junio 2024</w:t>
      </w:r>
    </w:p>
    <w:p w:rsidR="003C28C1" w:rsidRDefault="003C28C1"/>
    <w:sectPr w:rsidR="003C28C1" w:rsidSect="00F73439">
      <w:pgSz w:w="12240" w:h="18720" w:code="41"/>
      <w:pgMar w:top="2552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96"/>
    <w:multiLevelType w:val="hybridMultilevel"/>
    <w:tmpl w:val="A10E1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39"/>
    <w:rsid w:val="003C28C1"/>
    <w:rsid w:val="00F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6BD66-1E69-4816-89E8-AFCA657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39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73439"/>
    <w:pPr>
      <w:spacing w:after="0" w:line="240" w:lineRule="auto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34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439"/>
    <w:rPr>
      <w:lang w:val="es-ES"/>
    </w:rPr>
  </w:style>
  <w:style w:type="paragraph" w:customStyle="1" w:styleId="Estilo1">
    <w:name w:val="Estilo1"/>
    <w:basedOn w:val="Normal"/>
    <w:link w:val="Estilo1Car"/>
    <w:qFormat/>
    <w:rsid w:val="00F73439"/>
    <w:pPr>
      <w:spacing w:after="160" w:line="259" w:lineRule="auto"/>
    </w:pPr>
    <w:rPr>
      <w:lang w:val="es-BO" w:eastAsia="es-ES"/>
    </w:rPr>
  </w:style>
  <w:style w:type="character" w:customStyle="1" w:styleId="Estilo1Car">
    <w:name w:val="Estilo1 Car"/>
    <w:basedOn w:val="Fuentedeprrafopredeter"/>
    <w:link w:val="Estilo1"/>
    <w:rsid w:val="00F73439"/>
    <w:rPr>
      <w:lang w:val="es-BO" w:eastAsia="es-ES"/>
    </w:rPr>
  </w:style>
  <w:style w:type="paragraph" w:styleId="Prrafodelista">
    <w:name w:val="List Paragraph"/>
    <w:aliases w:val="Titulo,List Paragraph 1,List-Bulleted,Fase,CUADRO"/>
    <w:basedOn w:val="Normal"/>
    <w:link w:val="PrrafodelistaCar"/>
    <w:uiPriority w:val="34"/>
    <w:qFormat/>
    <w:rsid w:val="00F7343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73439"/>
    <w:rPr>
      <w:lang w:val="es-ES"/>
    </w:rPr>
  </w:style>
  <w:style w:type="character" w:customStyle="1" w:styleId="PrrafodelistaCar">
    <w:name w:val="Párrafo de lista Car"/>
    <w:aliases w:val="Titulo Car,List Paragraph 1 Car,List-Bulleted Car,Fase Car,CUADRO Car"/>
    <w:link w:val="Prrafodelista"/>
    <w:uiPriority w:val="34"/>
    <w:locked/>
    <w:rsid w:val="00F7343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4315</Characters>
  <Application>Microsoft Office Word</Application>
  <DocSecurity>0</DocSecurity>
  <Lines>35</Lines>
  <Paragraphs>10</Paragraphs>
  <ScaleCrop>false</ScaleCrop>
  <Company>Dixguel03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GAMS</dc:creator>
  <cp:keywords/>
  <dc:description/>
  <cp:lastModifiedBy>GAMS</cp:lastModifiedBy>
  <cp:revision>1</cp:revision>
  <dcterms:created xsi:type="dcterms:W3CDTF">2024-07-01T14:34:00Z</dcterms:created>
  <dcterms:modified xsi:type="dcterms:W3CDTF">2024-07-01T14:35:00Z</dcterms:modified>
</cp:coreProperties>
</file>