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6D" w:rsidRPr="00087366" w:rsidRDefault="009C036D" w:rsidP="009C0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87366">
        <w:rPr>
          <w:rFonts w:ascii="Times New Roman" w:hAnsi="Times New Roman" w:cs="Times New Roman"/>
          <w:b/>
          <w:sz w:val="24"/>
          <w:szCs w:val="24"/>
          <w:u w:val="single"/>
        </w:rPr>
        <w:t>RESUMEN EJECUTIVO</w:t>
      </w: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</w:rPr>
      </w:pP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</w:rPr>
      </w:pPr>
      <w:r w:rsidRPr="0083356E">
        <w:rPr>
          <w:rFonts w:ascii="Times New Roman" w:hAnsi="Times New Roman" w:cs="Times New Roman"/>
        </w:rPr>
        <w:t>Informe de Auditoria Interna</w:t>
      </w:r>
      <w:r w:rsidRPr="0083356E">
        <w:rPr>
          <w:rFonts w:ascii="Times New Roman" w:hAnsi="Times New Roman" w:cs="Times New Roman"/>
          <w:b/>
        </w:rPr>
        <w:t xml:space="preserve"> INF. D.A.I</w:t>
      </w:r>
      <w:r w:rsidRPr="00087366">
        <w:rPr>
          <w:rFonts w:ascii="Times New Roman" w:hAnsi="Times New Roman" w:cs="Times New Roman"/>
          <w:b/>
        </w:rPr>
        <w:t>. Nº 02/2025</w:t>
      </w:r>
      <w:r w:rsidRPr="00087366">
        <w:rPr>
          <w:rFonts w:ascii="Times New Roman" w:hAnsi="Times New Roman" w:cs="Times New Roman"/>
        </w:rPr>
        <w:t>, correspondiente</w:t>
      </w:r>
      <w:r w:rsidRPr="0083356E">
        <w:rPr>
          <w:rFonts w:ascii="Times New Roman" w:hAnsi="Times New Roman" w:cs="Times New Roman"/>
        </w:rPr>
        <w:t xml:space="preserve"> al “</w:t>
      </w:r>
      <w:r w:rsidRPr="0083356E">
        <w:rPr>
          <w:rFonts w:ascii="Times New Roman" w:hAnsi="Times New Roman" w:cs="Times New Roman"/>
          <w:b/>
        </w:rPr>
        <w:t>INFORME DE ACTIVIDADES ANUAL DEL 1º DE ENERO AL 31 DE DICIEMBRE DE 2024 DE LA DIRECCIÓN DE AUDITORÍA INTERNA DEL GOBIERNO AUTONOMO MUNICIPAL DE SUCRE</w:t>
      </w:r>
      <w:r w:rsidRPr="0083356E">
        <w:rPr>
          <w:rFonts w:ascii="Times New Roman" w:hAnsi="Times New Roman" w:cs="Times New Roman"/>
        </w:rPr>
        <w:t>”.</w:t>
      </w: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</w:rPr>
      </w:pP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  <w:b/>
        </w:rPr>
      </w:pPr>
      <w:r w:rsidRPr="0083356E">
        <w:rPr>
          <w:rFonts w:ascii="Times New Roman" w:hAnsi="Times New Roman" w:cs="Times New Roman"/>
          <w:b/>
        </w:rPr>
        <w:t>INFORMACIÓN RELATIVA A LA ENTIDAD</w:t>
      </w: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</w:rPr>
      </w:pP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</w:rPr>
      </w:pPr>
      <w:r w:rsidRPr="0083356E">
        <w:rPr>
          <w:rFonts w:ascii="Times New Roman" w:hAnsi="Times New Roman" w:cs="Times New Roman"/>
        </w:rPr>
        <w:t>Gobierno Autónomo Municipal de Sucre</w:t>
      </w: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</w:rPr>
      </w:pPr>
      <w:r w:rsidRPr="0083356E">
        <w:rPr>
          <w:rFonts w:ascii="Times New Roman" w:hAnsi="Times New Roman" w:cs="Times New Roman"/>
          <w:b/>
        </w:rPr>
        <w:t>Entidad Tutora:</w:t>
      </w:r>
      <w:r w:rsidRPr="0083356E">
        <w:rPr>
          <w:rFonts w:ascii="Times New Roman" w:hAnsi="Times New Roman" w:cs="Times New Roman"/>
        </w:rPr>
        <w:t xml:space="preserve"> Ninguna</w:t>
      </w: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</w:rPr>
      </w:pPr>
      <w:r w:rsidRPr="0083356E">
        <w:rPr>
          <w:rFonts w:ascii="Times New Roman" w:hAnsi="Times New Roman" w:cs="Times New Roman"/>
          <w:b/>
        </w:rPr>
        <w:t>Entidad sobre la que ejerce tuición:</w:t>
      </w:r>
      <w:r w:rsidRPr="0083356E">
        <w:rPr>
          <w:rFonts w:ascii="Times New Roman" w:hAnsi="Times New Roman" w:cs="Times New Roman"/>
        </w:rPr>
        <w:t xml:space="preserve"> Ninguna</w:t>
      </w: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  <w:b/>
        </w:rPr>
      </w:pP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  <w:b/>
        </w:rPr>
      </w:pPr>
      <w:r w:rsidRPr="0083356E">
        <w:rPr>
          <w:rFonts w:ascii="Times New Roman" w:hAnsi="Times New Roman" w:cs="Times New Roman"/>
          <w:b/>
        </w:rPr>
        <w:t>EJECUCIÓN DE LAS AUDITORÍAS</w:t>
      </w:r>
    </w:p>
    <w:p w:rsidR="009C036D" w:rsidRPr="0083356E" w:rsidRDefault="009C036D" w:rsidP="009C036D">
      <w:pPr>
        <w:spacing w:after="0"/>
        <w:jc w:val="both"/>
        <w:rPr>
          <w:rFonts w:ascii="Times New Roman" w:eastAsia="Calibri" w:hAnsi="Times New Roman" w:cs="Times New Roman"/>
        </w:rPr>
      </w:pPr>
    </w:p>
    <w:p w:rsidR="009C036D" w:rsidRDefault="009C036D" w:rsidP="009C036D">
      <w:pPr>
        <w:spacing w:after="0"/>
        <w:jc w:val="both"/>
        <w:rPr>
          <w:rFonts w:ascii="Times New Roman" w:hAnsi="Times New Roman" w:cs="Times New Roman"/>
        </w:rPr>
      </w:pPr>
      <w:r w:rsidRPr="0083356E">
        <w:rPr>
          <w:rFonts w:ascii="Times New Roman" w:hAnsi="Times New Roman" w:cs="Times New Roman"/>
        </w:rPr>
        <w:t>El Plan Operativo Anual (POA) de la Dirección de Auditoría Interna del Gobierno Autónomo Municipal correspondiente a la gestión 202</w:t>
      </w:r>
      <w:r>
        <w:rPr>
          <w:rFonts w:ascii="Times New Roman" w:hAnsi="Times New Roman" w:cs="Times New Roman"/>
        </w:rPr>
        <w:t>4</w:t>
      </w:r>
      <w:r w:rsidRPr="0083356E">
        <w:rPr>
          <w:rFonts w:ascii="Times New Roman" w:hAnsi="Times New Roman" w:cs="Times New Roman"/>
        </w:rPr>
        <w:t xml:space="preserve">, fue remitida a la Máxima Autoridad Ejecutiva del Gobierno Autónoma Municipal de Sucre mediante Nota CITE D.A.I. EXT. Nº </w:t>
      </w:r>
      <w:r>
        <w:rPr>
          <w:rFonts w:ascii="Times New Roman" w:hAnsi="Times New Roman" w:cs="Times New Roman"/>
        </w:rPr>
        <w:t xml:space="preserve">648/2023 </w:t>
      </w:r>
      <w:r w:rsidRPr="0083356E">
        <w:rPr>
          <w:rFonts w:ascii="Times New Roman" w:hAnsi="Times New Roman" w:cs="Times New Roman"/>
        </w:rPr>
        <w:t>de 29 de septiembre de 202</w:t>
      </w:r>
      <w:r>
        <w:rPr>
          <w:rFonts w:ascii="Times New Roman" w:hAnsi="Times New Roman" w:cs="Times New Roman"/>
        </w:rPr>
        <w:t>3</w:t>
      </w:r>
      <w:r w:rsidRPr="0083356E">
        <w:rPr>
          <w:rFonts w:ascii="Times New Roman" w:hAnsi="Times New Roman" w:cs="Times New Roman"/>
        </w:rPr>
        <w:t xml:space="preserve"> y a la Contraloría General del Estado con Nota CITE: DESPACHO Nº </w:t>
      </w:r>
      <w:r>
        <w:rPr>
          <w:rFonts w:ascii="Times New Roman" w:hAnsi="Times New Roman" w:cs="Times New Roman"/>
        </w:rPr>
        <w:t xml:space="preserve">1805/2023 </w:t>
      </w:r>
      <w:r w:rsidRPr="0083356E">
        <w:rPr>
          <w:rFonts w:ascii="Times New Roman" w:hAnsi="Times New Roman" w:cs="Times New Roman"/>
        </w:rPr>
        <w:t>de 29 de septiembre de 202</w:t>
      </w:r>
      <w:r>
        <w:rPr>
          <w:rFonts w:ascii="Times New Roman" w:hAnsi="Times New Roman" w:cs="Times New Roman"/>
        </w:rPr>
        <w:t>3</w:t>
      </w:r>
      <w:r w:rsidRPr="0083356E">
        <w:rPr>
          <w:rFonts w:ascii="Times New Roman" w:hAnsi="Times New Roman" w:cs="Times New Roman"/>
        </w:rPr>
        <w:t xml:space="preserve">. </w:t>
      </w:r>
    </w:p>
    <w:p w:rsidR="009C036D" w:rsidRDefault="009C036D" w:rsidP="009C036D">
      <w:pPr>
        <w:spacing w:after="0"/>
        <w:jc w:val="both"/>
        <w:rPr>
          <w:rFonts w:ascii="Times New Roman" w:hAnsi="Times New Roman" w:cs="Times New Roman"/>
        </w:rPr>
      </w:pP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83356E">
        <w:rPr>
          <w:rFonts w:ascii="Times New Roman" w:hAnsi="Times New Roman" w:cs="Times New Roman"/>
        </w:rPr>
        <w:t xml:space="preserve">n función a las actividades </w:t>
      </w:r>
      <w:r>
        <w:rPr>
          <w:rFonts w:ascii="Times New Roman" w:hAnsi="Times New Roman" w:cs="Times New Roman"/>
        </w:rPr>
        <w:t xml:space="preserve">realizadas </w:t>
      </w:r>
      <w:r w:rsidRPr="0083356E">
        <w:rPr>
          <w:rFonts w:ascii="Times New Roman" w:hAnsi="Times New Roman" w:cs="Times New Roman"/>
        </w:rPr>
        <w:t>se informa la ejecución de las auditorias en los Anexos que se detallan</w:t>
      </w:r>
      <w:r>
        <w:rPr>
          <w:rFonts w:ascii="Times New Roman" w:hAnsi="Times New Roman" w:cs="Times New Roman"/>
        </w:rPr>
        <w:t>.</w:t>
      </w: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</w:rPr>
      </w:pPr>
    </w:p>
    <w:p w:rsidR="009C036D" w:rsidRPr="003E2F5E" w:rsidRDefault="009C036D" w:rsidP="009C036D">
      <w:pPr>
        <w:pStyle w:val="Prrafodelista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E2F5E">
        <w:rPr>
          <w:rFonts w:ascii="Times New Roman" w:eastAsia="Calibri" w:hAnsi="Times New Roman" w:cs="Times New Roman"/>
          <w:b/>
          <w:sz w:val="20"/>
          <w:szCs w:val="20"/>
        </w:rPr>
        <w:t xml:space="preserve">DETALLE DE AUDITORIAS PROGRAMADAS E INDICADORES DE RENDIMIENTO. - </w:t>
      </w:r>
      <w:r w:rsidRPr="003E2F5E"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  <w:t>(Anexo Nº 1).</w:t>
      </w:r>
    </w:p>
    <w:p w:rsidR="009C036D" w:rsidRPr="003E2F5E" w:rsidRDefault="009C036D" w:rsidP="009C036D">
      <w:pPr>
        <w:pStyle w:val="Prrafodelista"/>
        <w:spacing w:after="0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C036D" w:rsidRPr="003E2F5E" w:rsidRDefault="009C036D" w:rsidP="009C036D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E2F5E">
        <w:rPr>
          <w:rFonts w:ascii="Times New Roman" w:eastAsia="Calibri" w:hAnsi="Times New Roman" w:cs="Times New Roman"/>
          <w:b/>
          <w:sz w:val="20"/>
          <w:szCs w:val="20"/>
        </w:rPr>
        <w:t>DETALLE DE AUDITORIAS NO PROGRAMADAS</w:t>
      </w:r>
      <w:r w:rsidRPr="003E2F5E">
        <w:rPr>
          <w:rFonts w:ascii="Times New Roman" w:eastAsia="Calibri" w:hAnsi="Times New Roman" w:cs="Times New Roman"/>
          <w:sz w:val="20"/>
          <w:szCs w:val="20"/>
        </w:rPr>
        <w:t>. (Anexo Nº 2)</w:t>
      </w:r>
    </w:p>
    <w:p w:rsidR="009C036D" w:rsidRPr="003E2F5E" w:rsidRDefault="009C036D" w:rsidP="009C036D">
      <w:pPr>
        <w:pStyle w:val="Prrafodelista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C036D" w:rsidRPr="003E2F5E" w:rsidRDefault="009C036D" w:rsidP="009C036D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E2F5E">
        <w:rPr>
          <w:rFonts w:ascii="Times New Roman" w:hAnsi="Times New Roman" w:cs="Times New Roman"/>
          <w:b/>
          <w:sz w:val="20"/>
          <w:szCs w:val="20"/>
        </w:rPr>
        <w:t>MOVIMIENTO DE PERSONAL</w:t>
      </w:r>
      <w:r w:rsidRPr="003E2F5E">
        <w:rPr>
          <w:rFonts w:ascii="Times New Roman" w:eastAsia="Calibri" w:hAnsi="Times New Roman" w:cs="Times New Roman"/>
          <w:sz w:val="20"/>
          <w:szCs w:val="20"/>
        </w:rPr>
        <w:t xml:space="preserve">. - </w:t>
      </w:r>
      <w:r w:rsidRPr="003E2F5E"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  <w:t>(Anexo Nº 3).</w:t>
      </w:r>
    </w:p>
    <w:p w:rsidR="009C036D" w:rsidRPr="003E2F5E" w:rsidRDefault="009C036D" w:rsidP="009C03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C036D" w:rsidRPr="003E2F5E" w:rsidRDefault="009C036D" w:rsidP="009C036D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2F5E">
        <w:rPr>
          <w:rFonts w:ascii="Times New Roman" w:hAnsi="Times New Roman" w:cs="Times New Roman"/>
          <w:b/>
          <w:sz w:val="20"/>
          <w:szCs w:val="20"/>
        </w:rPr>
        <w:t>CAPACITACION RECIBIDA</w:t>
      </w:r>
      <w:r w:rsidRPr="003E2F5E">
        <w:rPr>
          <w:rFonts w:ascii="Times New Roman" w:eastAsia="Calibri" w:hAnsi="Times New Roman" w:cs="Times New Roman"/>
          <w:sz w:val="20"/>
          <w:szCs w:val="20"/>
        </w:rPr>
        <w:t xml:space="preserve">. - </w:t>
      </w:r>
      <w:r w:rsidRPr="003E2F5E"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  <w:t>(Anexo Nº 4).</w:t>
      </w:r>
    </w:p>
    <w:p w:rsidR="009C036D" w:rsidRPr="0083356E" w:rsidRDefault="009C036D" w:rsidP="009C036D">
      <w:pPr>
        <w:spacing w:after="0"/>
        <w:jc w:val="both"/>
        <w:rPr>
          <w:rFonts w:ascii="Times New Roman" w:hAnsi="Times New Roman" w:cs="Times New Roman"/>
          <w:b/>
        </w:rPr>
      </w:pPr>
    </w:p>
    <w:p w:rsidR="009C036D" w:rsidRPr="0083356E" w:rsidRDefault="009C036D" w:rsidP="009C036D">
      <w:pPr>
        <w:spacing w:after="0"/>
        <w:jc w:val="both"/>
        <w:rPr>
          <w:rFonts w:ascii="Times New Roman" w:eastAsia="Times New Roman" w:hAnsi="Times New Roman" w:cs="Times New Roman"/>
          <w:b/>
          <w:lang w:val="es-BO" w:eastAsia="es-BO"/>
        </w:rPr>
      </w:pPr>
      <w:r w:rsidRPr="0083356E">
        <w:rPr>
          <w:rFonts w:ascii="Times New Roman" w:hAnsi="Times New Roman" w:cs="Times New Roman"/>
          <w:b/>
        </w:rPr>
        <w:t>INFORMACIÓN ADICIONAL:</w:t>
      </w:r>
    </w:p>
    <w:p w:rsidR="009C036D" w:rsidRPr="0083356E" w:rsidRDefault="009C036D" w:rsidP="009C036D">
      <w:pPr>
        <w:spacing w:after="0"/>
        <w:jc w:val="both"/>
        <w:rPr>
          <w:rFonts w:ascii="Times New Roman" w:eastAsia="Times New Roman" w:hAnsi="Times New Roman" w:cs="Times New Roman"/>
          <w:b/>
          <w:lang w:val="es-BO" w:eastAsia="es-BO"/>
        </w:rPr>
      </w:pPr>
    </w:p>
    <w:p w:rsidR="009C036D" w:rsidRPr="0083356E" w:rsidRDefault="009C036D" w:rsidP="009C036D">
      <w:pPr>
        <w:spacing w:after="0"/>
        <w:jc w:val="both"/>
        <w:rPr>
          <w:rFonts w:ascii="Times New Roman" w:eastAsia="Times New Roman" w:hAnsi="Times New Roman" w:cs="Times New Roman"/>
          <w:lang w:val="es-BO" w:eastAsia="es-BO"/>
        </w:rPr>
      </w:pPr>
      <w:r w:rsidRPr="0083356E">
        <w:rPr>
          <w:rFonts w:ascii="Times New Roman" w:eastAsia="Times New Roman" w:hAnsi="Times New Roman" w:cs="Times New Roman"/>
          <w:lang w:val="es-BO" w:eastAsia="es-BO"/>
        </w:rPr>
        <w:t>En este acápite podemos señalar lo siguiente:</w:t>
      </w:r>
    </w:p>
    <w:p w:rsidR="009C036D" w:rsidRPr="0083356E" w:rsidRDefault="009C036D" w:rsidP="009C036D">
      <w:pPr>
        <w:spacing w:after="0"/>
        <w:jc w:val="both"/>
        <w:rPr>
          <w:rFonts w:ascii="Times New Roman" w:eastAsia="Times New Roman" w:hAnsi="Times New Roman" w:cs="Times New Roman"/>
          <w:lang w:val="es-BO" w:eastAsia="es-BO"/>
        </w:rPr>
      </w:pPr>
    </w:p>
    <w:p w:rsidR="009C036D" w:rsidRPr="003E2F5E" w:rsidRDefault="009C036D" w:rsidP="009C036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</w:pPr>
      <w:r w:rsidRPr="003E2F5E"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  <w:t>INFORMES CIRCUNSTANCIADOS</w:t>
      </w:r>
      <w:r w:rsidRPr="003E2F5E"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  <w:t>. - (Ver en Anexo Nº 5).</w:t>
      </w:r>
    </w:p>
    <w:p w:rsidR="009C036D" w:rsidRPr="003E2F5E" w:rsidRDefault="009C036D" w:rsidP="009C03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</w:pPr>
    </w:p>
    <w:p w:rsidR="009C036D" w:rsidRPr="003E2F5E" w:rsidRDefault="009C036D" w:rsidP="009C036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</w:pPr>
      <w:r w:rsidRPr="003E2F5E"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  <w:t>NOTAS ADMINISTRATIVAS</w:t>
      </w:r>
      <w:r w:rsidRPr="003E2F5E"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  <w:t>. - (Anexo Nº 6).</w:t>
      </w:r>
    </w:p>
    <w:p w:rsidR="009C036D" w:rsidRPr="003E2F5E" w:rsidRDefault="009C036D" w:rsidP="009C03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</w:pPr>
    </w:p>
    <w:p w:rsidR="009C036D" w:rsidRPr="003E2F5E" w:rsidRDefault="009C036D" w:rsidP="009C036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</w:pPr>
      <w:r w:rsidRPr="003E2F5E"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  <w:t>INFORMES DE RELEVAMIENTO DE INFORMACIÓN ESPECÍFICA</w:t>
      </w:r>
      <w:r w:rsidRPr="003E2F5E"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  <w:t>. - (Anexo Nº 7).</w:t>
      </w:r>
    </w:p>
    <w:p w:rsidR="009C036D" w:rsidRPr="003E2F5E" w:rsidRDefault="009C036D" w:rsidP="009C03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</w:pPr>
    </w:p>
    <w:p w:rsidR="009C036D" w:rsidRPr="003E2F5E" w:rsidRDefault="009C036D" w:rsidP="009C036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</w:pPr>
      <w:r w:rsidRPr="003E2F5E"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  <w:t>INFORMES DE SEGUIMIENTO</w:t>
      </w:r>
      <w:r w:rsidRPr="003E2F5E"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  <w:t>. - (Ver en Anexo Nº 8).</w:t>
      </w:r>
    </w:p>
    <w:p w:rsidR="009C036D" w:rsidRPr="003E2F5E" w:rsidRDefault="009C036D" w:rsidP="009C036D">
      <w:pPr>
        <w:pStyle w:val="Prrafodelista"/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36D" w:rsidRPr="003E2F5E" w:rsidRDefault="009C036D" w:rsidP="009C036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</w:pPr>
      <w:r w:rsidRPr="003E2F5E">
        <w:rPr>
          <w:rFonts w:ascii="Times New Roman" w:hAnsi="Times New Roman" w:cs="Times New Roman"/>
          <w:b/>
          <w:sz w:val="20"/>
          <w:szCs w:val="20"/>
        </w:rPr>
        <w:t>RECUPERACIÓN POR MECANISMOS ALTERNOS AL DE LAS ACCIONES JUDICIALES</w:t>
      </w:r>
      <w:r w:rsidRPr="003E2F5E"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  <w:t>. - (ver en Anexo Nº 9).</w:t>
      </w:r>
    </w:p>
    <w:p w:rsidR="009C036D" w:rsidRPr="003E2F5E" w:rsidRDefault="009C036D" w:rsidP="009C036D">
      <w:pPr>
        <w:pStyle w:val="Prrafodelist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036D" w:rsidRPr="003E2F5E" w:rsidRDefault="009C036D" w:rsidP="009C036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</w:pPr>
      <w:r w:rsidRPr="003E2F5E">
        <w:rPr>
          <w:rFonts w:ascii="Times New Roman" w:hAnsi="Times New Roman" w:cs="Times New Roman"/>
          <w:b/>
          <w:sz w:val="20"/>
          <w:szCs w:val="20"/>
        </w:rPr>
        <w:t>INFORMES DE LA UNIDAD DE AUDITORÍA INTERNA CON RECOMENDACIONES DE CONTROL INTERNO</w:t>
      </w:r>
      <w:r w:rsidRPr="003E2F5E">
        <w:rPr>
          <w:rFonts w:ascii="Times New Roman" w:eastAsia="Times New Roman" w:hAnsi="Times New Roman" w:cs="Times New Roman"/>
          <w:sz w:val="20"/>
          <w:szCs w:val="20"/>
          <w:lang w:val="es-BO" w:eastAsia="es-BO"/>
        </w:rPr>
        <w:t>. - (Ver en Anexo Nº 10).</w:t>
      </w:r>
    </w:p>
    <w:p w:rsidR="009C036D" w:rsidRPr="003E2F5E" w:rsidRDefault="009C036D" w:rsidP="009C036D">
      <w:pPr>
        <w:pStyle w:val="Prrafodelista"/>
        <w:spacing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  <w:lang w:val="es-BO" w:eastAsia="es-BO"/>
        </w:rPr>
      </w:pPr>
    </w:p>
    <w:p w:rsidR="009C036D" w:rsidRPr="003E2F5E" w:rsidRDefault="009C036D" w:rsidP="009C036D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E2F5E">
        <w:rPr>
          <w:rFonts w:ascii="Times New Roman" w:hAnsi="Times New Roman" w:cs="Times New Roman"/>
          <w:b/>
          <w:sz w:val="20"/>
          <w:szCs w:val="20"/>
        </w:rPr>
        <w:t xml:space="preserve">DETALLE DE INFORMES DEVUELTOS POR LA CGE.- </w:t>
      </w:r>
      <w:r w:rsidRPr="003E2F5E">
        <w:rPr>
          <w:rFonts w:ascii="Times New Roman" w:hAnsi="Times New Roman" w:cs="Times New Roman"/>
          <w:bCs/>
          <w:sz w:val="20"/>
          <w:szCs w:val="20"/>
        </w:rPr>
        <w:t>(Ver Anexo 11)</w:t>
      </w:r>
    </w:p>
    <w:p w:rsidR="009C036D" w:rsidRPr="0083356E" w:rsidRDefault="009C036D" w:rsidP="009C036D">
      <w:pPr>
        <w:spacing w:after="0"/>
        <w:ind w:left="491"/>
        <w:jc w:val="both"/>
        <w:rPr>
          <w:rFonts w:ascii="Times New Roman" w:eastAsia="Times New Roman" w:hAnsi="Times New Roman" w:cs="Times New Roman"/>
          <w:b/>
          <w:lang w:val="es-BO" w:eastAsia="es-BO"/>
        </w:rPr>
      </w:pPr>
    </w:p>
    <w:p w:rsidR="009C036D" w:rsidRPr="0083356E" w:rsidRDefault="009C036D" w:rsidP="009C036D">
      <w:pPr>
        <w:spacing w:after="0"/>
        <w:jc w:val="both"/>
        <w:rPr>
          <w:rFonts w:ascii="Times New Roman" w:eastAsia="Times New Roman" w:hAnsi="Times New Roman" w:cs="Times New Roman"/>
          <w:lang w:val="es-BO" w:eastAsia="es-BO"/>
        </w:rPr>
      </w:pPr>
    </w:p>
    <w:p w:rsidR="00506EC8" w:rsidRDefault="009C036D" w:rsidP="009C036D">
      <w:pPr>
        <w:spacing w:after="0"/>
        <w:jc w:val="center"/>
      </w:pPr>
      <w:r w:rsidRPr="0083356E">
        <w:rPr>
          <w:rFonts w:ascii="Times New Roman" w:eastAsia="Times New Roman" w:hAnsi="Times New Roman" w:cs="Times New Roman"/>
          <w:lang w:val="es-BO" w:eastAsia="es-BO"/>
        </w:rPr>
        <w:t>Sucre, enero de 202</w:t>
      </w:r>
      <w:r>
        <w:rPr>
          <w:rFonts w:ascii="Times New Roman" w:eastAsia="Times New Roman" w:hAnsi="Times New Roman" w:cs="Times New Roman"/>
          <w:lang w:val="es-BO" w:eastAsia="es-BO"/>
        </w:rPr>
        <w:t>5</w:t>
      </w:r>
    </w:p>
    <w:sectPr w:rsidR="00506EC8" w:rsidSect="005F6B34">
      <w:footerReference w:type="default" r:id="rId8"/>
      <w:footerReference w:type="first" r:id="rId9"/>
      <w:pgSz w:w="12304" w:h="18711" w:code="5"/>
      <w:pgMar w:top="1417" w:right="1183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BB" w:rsidRDefault="00717ABB">
      <w:pPr>
        <w:spacing w:after="0" w:line="240" w:lineRule="auto"/>
      </w:pPr>
      <w:r>
        <w:separator/>
      </w:r>
    </w:p>
  </w:endnote>
  <w:endnote w:type="continuationSeparator" w:id="0">
    <w:p w:rsidR="00717ABB" w:rsidRDefault="0071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136" w:rsidRDefault="00CC1136" w:rsidP="00645FF0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136" w:rsidRDefault="00CC1136">
    <w:pPr>
      <w:pStyle w:val="Piedepgina"/>
      <w:jc w:val="right"/>
    </w:pPr>
  </w:p>
  <w:p w:rsidR="00CC1136" w:rsidRDefault="00CC11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BB" w:rsidRDefault="00717ABB">
      <w:pPr>
        <w:spacing w:after="0" w:line="240" w:lineRule="auto"/>
      </w:pPr>
      <w:r>
        <w:separator/>
      </w:r>
    </w:p>
  </w:footnote>
  <w:footnote w:type="continuationSeparator" w:id="0">
    <w:p w:rsidR="00717ABB" w:rsidRDefault="0071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24A0"/>
    <w:multiLevelType w:val="hybridMultilevel"/>
    <w:tmpl w:val="8D7C3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2F1DCF"/>
    <w:multiLevelType w:val="hybridMultilevel"/>
    <w:tmpl w:val="6CEE630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6D"/>
    <w:rsid w:val="000A4160"/>
    <w:rsid w:val="00341B93"/>
    <w:rsid w:val="00474C17"/>
    <w:rsid w:val="00506EC8"/>
    <w:rsid w:val="005F6B34"/>
    <w:rsid w:val="00700040"/>
    <w:rsid w:val="00717ABB"/>
    <w:rsid w:val="007E3936"/>
    <w:rsid w:val="00951B6E"/>
    <w:rsid w:val="009C036D"/>
    <w:rsid w:val="00C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6D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0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03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0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03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0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0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0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03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036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036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3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03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03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03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0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0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0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036D"/>
    <w:rPr>
      <w:i/>
      <w:iCs/>
      <w:color w:val="404040" w:themeColor="text1" w:themeTint="BF"/>
    </w:rPr>
  </w:style>
  <w:style w:type="paragraph" w:styleId="Prrafodelista">
    <w:name w:val="List Paragraph"/>
    <w:aliases w:val="MAPA,GRÁFICOS,GRAFICO"/>
    <w:basedOn w:val="Normal"/>
    <w:link w:val="PrrafodelistaCar"/>
    <w:uiPriority w:val="34"/>
    <w:qFormat/>
    <w:rsid w:val="009C03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036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036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036D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9C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6D"/>
    <w:rPr>
      <w:kern w:val="0"/>
      <w:lang w:val="es-ES"/>
      <w14:ligatures w14:val="none"/>
    </w:rPr>
  </w:style>
  <w:style w:type="character" w:customStyle="1" w:styleId="PrrafodelistaCar">
    <w:name w:val="Párrafo de lista Car"/>
    <w:aliases w:val="MAPA Car,GRÁFICOS Car,GRAFICO Car"/>
    <w:link w:val="Prrafodelista"/>
    <w:uiPriority w:val="34"/>
    <w:locked/>
    <w:rsid w:val="009C0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6D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0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03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0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03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0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0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0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0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03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036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036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03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03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03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03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0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0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0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036D"/>
    <w:rPr>
      <w:i/>
      <w:iCs/>
      <w:color w:val="404040" w:themeColor="text1" w:themeTint="BF"/>
    </w:rPr>
  </w:style>
  <w:style w:type="paragraph" w:styleId="Prrafodelista">
    <w:name w:val="List Paragraph"/>
    <w:aliases w:val="MAPA,GRÁFICOS,GRAFICO"/>
    <w:basedOn w:val="Normal"/>
    <w:link w:val="PrrafodelistaCar"/>
    <w:uiPriority w:val="34"/>
    <w:qFormat/>
    <w:rsid w:val="009C03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036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036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036D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9C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6D"/>
    <w:rPr>
      <w:kern w:val="0"/>
      <w:lang w:val="es-ES"/>
      <w14:ligatures w14:val="none"/>
    </w:rPr>
  </w:style>
  <w:style w:type="character" w:customStyle="1" w:styleId="PrrafodelistaCar">
    <w:name w:val="Párrafo de lista Car"/>
    <w:aliases w:val="MAPA Car,GRÁFICOS Car,GRAFICO Car"/>
    <w:link w:val="Prrafodelista"/>
    <w:uiPriority w:val="34"/>
    <w:locked/>
    <w:rsid w:val="009C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Andrea Pérez Revollo</dc:creator>
  <cp:lastModifiedBy>MDVL</cp:lastModifiedBy>
  <cp:revision>2</cp:revision>
  <dcterms:created xsi:type="dcterms:W3CDTF">2025-03-06T22:03:00Z</dcterms:created>
  <dcterms:modified xsi:type="dcterms:W3CDTF">2025-03-06T22:03:00Z</dcterms:modified>
</cp:coreProperties>
</file>