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1C" w:rsidRPr="00DF6064" w:rsidRDefault="00A86B1C" w:rsidP="00A86B1C">
      <w:pPr>
        <w:spacing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F6064">
        <w:rPr>
          <w:rFonts w:ascii="Times New Roman" w:eastAsia="Calibri" w:hAnsi="Times New Roman" w:cs="Times New Roman"/>
          <w:b/>
          <w:sz w:val="24"/>
          <w:szCs w:val="24"/>
        </w:rPr>
        <w:t>RESUMEN EJECUTIVO</w:t>
      </w:r>
    </w:p>
    <w:p w:rsidR="00A86B1C" w:rsidRPr="0009138E" w:rsidRDefault="00A86B1C" w:rsidP="00A86B1C">
      <w:pPr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</w:p>
    <w:p w:rsidR="00A86B1C" w:rsidRPr="0009138E" w:rsidRDefault="00A86B1C" w:rsidP="00A86B1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A86B1C" w:rsidRPr="0009138E" w:rsidRDefault="00A86B1C" w:rsidP="00A86B1C">
      <w:pPr>
        <w:spacing w:after="0"/>
        <w:jc w:val="both"/>
        <w:rPr>
          <w:rFonts w:ascii="Times New Roman" w:eastAsia="Calibri" w:hAnsi="Times New Roman" w:cs="Times New Roman"/>
        </w:rPr>
      </w:pPr>
      <w:r w:rsidRPr="0009138E">
        <w:rPr>
          <w:rFonts w:ascii="Times New Roman" w:eastAsia="Calibri" w:hAnsi="Times New Roman" w:cs="Times New Roman"/>
        </w:rPr>
        <w:t>Informe sobre Auditoría sobre la Confiabilidad de los Estados Financieros del Gobierno Autónomo Municipal de Sucre, correspondiente a la gestión 2024.</w:t>
      </w:r>
    </w:p>
    <w:p w:rsidR="00A86B1C" w:rsidRPr="0009138E" w:rsidRDefault="00A86B1C" w:rsidP="00A86B1C">
      <w:pPr>
        <w:spacing w:after="0"/>
        <w:ind w:left="284"/>
        <w:jc w:val="both"/>
        <w:rPr>
          <w:rFonts w:ascii="Times New Roman" w:eastAsia="Calibri" w:hAnsi="Times New Roman" w:cs="Times New Roman"/>
        </w:rPr>
      </w:pPr>
    </w:p>
    <w:p w:rsidR="00A86B1C" w:rsidRPr="0009138E" w:rsidRDefault="00A86B1C" w:rsidP="00A86B1C">
      <w:pPr>
        <w:rPr>
          <w:rFonts w:ascii="Times New Roman" w:eastAsia="Calibri" w:hAnsi="Times New Roman" w:cs="Times New Roman"/>
        </w:rPr>
      </w:pPr>
      <w:r w:rsidRPr="0009138E">
        <w:rPr>
          <w:rFonts w:ascii="Times New Roman" w:eastAsia="Calibri" w:hAnsi="Times New Roman" w:cs="Times New Roman"/>
          <w:b/>
        </w:rPr>
        <w:t>OBJETIVO: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</w:rPr>
      </w:pPr>
    </w:p>
    <w:p w:rsidR="00A86B1C" w:rsidRPr="0009138E" w:rsidRDefault="00A86B1C" w:rsidP="00A86B1C">
      <w:pPr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 xml:space="preserve">En cumplimiento a los artículos 15 y 27 inciso e) de la Ley Nº 1178 de Administración de Control Gubernamental, al  Plan Operativo de Anual de la Dirección de Auditoría Interna correspondiente a la Gestión 2024 y en aplicación de las Normas de Auditoria de Confiabilidad de los Registros y Estados Financieros aprobado con Resolución N° CGE/073/2021 del 28 de octubre de 2021 Código: NE/CE-114 Versión 1, se programó como </w:t>
      </w:r>
      <w:r w:rsidRPr="0009138E">
        <w:rPr>
          <w:rFonts w:ascii="Times New Roman" w:hAnsi="Times New Roman" w:cs="Times New Roman"/>
          <w:i/>
          <w:color w:val="000000"/>
        </w:rPr>
        <w:t xml:space="preserve">“Auditoría de Confiabilidad de los Registros y Estados Financieros del Gobierno Autónomo Municipal de Sucre, correspondiente a la gestión 2024”. </w:t>
      </w:r>
      <w:r w:rsidRPr="0009138E">
        <w:rPr>
          <w:rFonts w:ascii="Times New Roman" w:hAnsi="Times New Roman" w:cs="Times New Roman"/>
          <w:color w:val="000000"/>
        </w:rPr>
        <w:t>Al respecto</w:t>
      </w:r>
      <w:r w:rsidRPr="0009138E">
        <w:rPr>
          <w:rFonts w:ascii="Times New Roman" w:hAnsi="Times New Roman" w:cs="Times New Roman"/>
          <w:i/>
          <w:color w:val="000000"/>
        </w:rPr>
        <w:t xml:space="preserve">, </w:t>
      </w:r>
      <w:r w:rsidRPr="0009138E">
        <w:rPr>
          <w:rFonts w:ascii="Times New Roman" w:hAnsi="Times New Roman" w:cs="Times New Roman"/>
          <w:color w:val="000000"/>
        </w:rPr>
        <w:t>es preciso señalar que producto de esta auditoría se emitirán dos informes, el Pronunciamiento sobre la Confiabilidad de los Registros y Deficiencias de control interno y el Pronunciamiento de los Estados Financieros y Deficiencias de Control Interno del Gobierno Autónomo Municipal de Sucre del 01 de enero al 31 de diciembre de 2024</w:t>
      </w:r>
    </w:p>
    <w:p w:rsidR="00A86B1C" w:rsidRPr="0009138E" w:rsidRDefault="00A86B1C" w:rsidP="00A86B1C">
      <w:pPr>
        <w:rPr>
          <w:rFonts w:ascii="Times New Roman" w:eastAsia="Calibri" w:hAnsi="Times New Roman" w:cs="Times New Roman"/>
          <w:b/>
          <w:color w:val="000000" w:themeColor="text1"/>
          <w:lang w:eastAsia="es-ES"/>
        </w:rPr>
      </w:pPr>
      <w:r w:rsidRPr="0009138E">
        <w:rPr>
          <w:rFonts w:ascii="Times New Roman" w:eastAsia="Calibri" w:hAnsi="Times New Roman" w:cs="Times New Roman"/>
          <w:b/>
          <w:color w:val="000000" w:themeColor="text1"/>
          <w:lang w:eastAsia="es-ES"/>
        </w:rPr>
        <w:t>OBJETIVO</w:t>
      </w:r>
    </w:p>
    <w:p w:rsidR="00A86B1C" w:rsidRPr="0009138E" w:rsidRDefault="00A86B1C" w:rsidP="00A86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La auditoría tiene como objetivo principal; Emitir un pronunciamiento, sobre la Confiabilidad de los Registros y Estados Financieros correspondientes a la gestión 2024 del Gobierno Autónomo Municipal de Sucre en el marco de las Normas Básicas del Sistema de Contabilidad Gubernamental Integrada, Manual de Cuentas de Contabilidad del Sector Público y otra normativa específica, identificar, analizar el diseño e implementación y funcionamiento de los controles internos con el propósito de determinar si los mismos minimizan la probabilidad de ocurrencia relacionados al registro, elaboración y emisión de los Estados Financieros en aplicación de los artículos 15 y 27, inc. e) de la Ley Nº 1178 de Administración y Control Gubernamental.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es-BO"/>
        </w:rPr>
      </w:pPr>
      <w:r w:rsidRPr="0009138E">
        <w:rPr>
          <w:rFonts w:ascii="Times New Roman" w:hAnsi="Times New Roman" w:cs="Times New Roman"/>
          <w:color w:val="000000"/>
          <w:lang w:val="es-BO"/>
        </w:rPr>
        <w:t>En el presente informe, se emite el pronunciamiento sobre la confiabilidad de los Estados Financieros del Gobierno Autónomo Municipal de Sucre de la gestión 2024, así como como la evaluación del diseño e implementación y funcionamiento del sistema de control interno y las respectivas deficiencias de control interno emergentes de la revisión y análisis de los Estados Financieros.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es-BO"/>
        </w:rPr>
      </w:pPr>
    </w:p>
    <w:p w:rsidR="00A86B1C" w:rsidRPr="0009138E" w:rsidRDefault="00A86B1C" w:rsidP="00A86B1C">
      <w:pPr>
        <w:rPr>
          <w:rFonts w:ascii="Times New Roman" w:eastAsia="Calibri" w:hAnsi="Times New Roman" w:cs="Times New Roman"/>
          <w:color w:val="000000" w:themeColor="text1"/>
          <w:lang w:eastAsia="es-ES"/>
        </w:rPr>
      </w:pPr>
      <w:r w:rsidRPr="0009138E">
        <w:rPr>
          <w:rFonts w:ascii="Times New Roman" w:eastAsia="Calibri" w:hAnsi="Times New Roman" w:cs="Times New Roman"/>
          <w:b/>
          <w:color w:val="000000" w:themeColor="text1"/>
          <w:lang w:eastAsia="es-ES"/>
        </w:rPr>
        <w:t xml:space="preserve">OBJETO 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lang w:val="es-BO"/>
        </w:rPr>
      </w:pP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</w:rPr>
      </w:pPr>
      <w:r w:rsidRPr="0009138E">
        <w:rPr>
          <w:rFonts w:ascii="Times New Roman" w:hAnsi="Times New Roman" w:cs="Times New Roman"/>
          <w:bCs/>
          <w:iCs/>
          <w:spacing w:val="-3"/>
        </w:rPr>
        <w:t>El objeto de la Confiabilidad de los Estados Financieros, se realizará</w:t>
      </w:r>
      <w:r w:rsidRPr="0009138E">
        <w:rPr>
          <w:rFonts w:ascii="Times New Roman" w:hAnsi="Times New Roman" w:cs="Times New Roman"/>
        </w:rPr>
        <w:t xml:space="preserve"> en base a la información financiera emitida por el Gobierno Autónomo Municipal de Sucre correspondiente a la Gestión 2024, en el marco de las Normas Generales de Auditoria Gubernamental específicamente de acuerdo a las Normas de Auditoria de Confiabilidad, aprobada con Resolución CGE/073/2021 del 28 de octubre de 2021 y </w:t>
      </w:r>
      <w:r w:rsidRPr="0009138E">
        <w:rPr>
          <w:rFonts w:ascii="Times New Roman" w:hAnsi="Times New Roman" w:cs="Times New Roman"/>
          <w:bCs/>
          <w:iCs/>
        </w:rPr>
        <w:t>este trabajo se basara en la aplicación de pruebas selectivas de comprobación de controles y otras pruebas de auditoría, en la medida que consideramos necesarias en las circunstancias.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pacing w:val="-3"/>
        </w:rPr>
      </w:pPr>
    </w:p>
    <w:p w:rsidR="00A86B1C" w:rsidRPr="0009138E" w:rsidRDefault="00A86B1C" w:rsidP="00A86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pacing w:val="-3"/>
        </w:rPr>
      </w:pPr>
      <w:r w:rsidRPr="0009138E">
        <w:rPr>
          <w:rFonts w:ascii="Times New Roman" w:hAnsi="Times New Roman" w:cs="Times New Roman"/>
          <w:bCs/>
          <w:iCs/>
          <w:spacing w:val="-3"/>
        </w:rPr>
        <w:t>La revisión comprenderá:</w:t>
      </w:r>
    </w:p>
    <w:p w:rsidR="00A86B1C" w:rsidRPr="0009138E" w:rsidRDefault="00A86B1C" w:rsidP="00A86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09138E">
        <w:rPr>
          <w:rFonts w:ascii="Times New Roman" w:hAnsi="Times New Roman" w:cs="Times New Roman"/>
          <w:b/>
          <w:bCs/>
          <w:color w:val="000000"/>
        </w:rPr>
        <w:t>Patrimoniales: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 xml:space="preserve">- Balance General 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Estado de Recursos y Gastos Corriente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Estado de Cambios en el Patrimonio Neto</w:t>
      </w:r>
    </w:p>
    <w:p w:rsidR="00A86B1C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A86B1C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A86B1C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A86B1C" w:rsidRPr="0009138E" w:rsidRDefault="00A86B1C" w:rsidP="00A86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09138E">
        <w:rPr>
          <w:rFonts w:ascii="Times New Roman" w:hAnsi="Times New Roman" w:cs="Times New Roman"/>
          <w:b/>
          <w:bCs/>
          <w:color w:val="000000"/>
        </w:rPr>
        <w:t>Presupuestario: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Estado de Ejecución Presupuestaria de Recursos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Estado de Ejecución Presupuestaria de Gastos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Cuenta Ahorro Inversión Financiamiento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A86B1C" w:rsidRPr="0009138E" w:rsidRDefault="00A86B1C" w:rsidP="00A86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09138E">
        <w:rPr>
          <w:rFonts w:ascii="Times New Roman" w:hAnsi="Times New Roman" w:cs="Times New Roman"/>
          <w:b/>
          <w:bCs/>
          <w:color w:val="000000"/>
        </w:rPr>
        <w:t>Financieros:</w:t>
      </w:r>
    </w:p>
    <w:p w:rsidR="00A86B1C" w:rsidRPr="0009138E" w:rsidRDefault="00A86B1C" w:rsidP="00A86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Estado de Flujo de Efectivo</w:t>
      </w:r>
    </w:p>
    <w:p w:rsidR="00A86B1C" w:rsidRPr="0009138E" w:rsidRDefault="00A86B1C" w:rsidP="00A86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09138E">
        <w:rPr>
          <w:rFonts w:ascii="Times New Roman" w:hAnsi="Times New Roman" w:cs="Times New Roman"/>
          <w:b/>
          <w:bCs/>
          <w:color w:val="000000"/>
        </w:rPr>
        <w:t>Otros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Notas a los Estados Financieros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Inventario de Materiales y Suministros.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Inventario de Activos Fijos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Registro de ejecución del presupuesto de recursos y gastos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Conciliaciones Bancarias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Libros Mayores y Auxiliares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Detalle de Deudores y Acreedores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 xml:space="preserve">- Programaciones de Pago 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>- Otros Registros Auxiliares, complementarios y respaldos a operaciones del período de examen.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9138E">
        <w:rPr>
          <w:rFonts w:ascii="Times New Roman" w:hAnsi="Times New Roman" w:cs="Times New Roman"/>
          <w:color w:val="000000"/>
        </w:rPr>
        <w:t xml:space="preserve"> </w:t>
      </w:r>
    </w:p>
    <w:p w:rsidR="00A86B1C" w:rsidRPr="0009138E" w:rsidRDefault="00A86B1C" w:rsidP="00A86B1C">
      <w:pPr>
        <w:rPr>
          <w:rFonts w:ascii="Times New Roman" w:eastAsia="Calibri" w:hAnsi="Times New Roman" w:cs="Times New Roman"/>
          <w:b/>
          <w:bCs/>
          <w:color w:val="000000" w:themeColor="text1"/>
          <w:lang w:val="es-BO"/>
        </w:rPr>
      </w:pPr>
      <w:r w:rsidRPr="0009138E">
        <w:rPr>
          <w:rFonts w:ascii="Times New Roman" w:eastAsia="Calibri" w:hAnsi="Times New Roman" w:cs="Times New Roman"/>
          <w:b/>
          <w:bCs/>
          <w:color w:val="000000" w:themeColor="text1"/>
          <w:lang w:val="es-BO"/>
        </w:rPr>
        <w:t xml:space="preserve">ALCANCE </w:t>
      </w:r>
    </w:p>
    <w:p w:rsidR="00A86B1C" w:rsidRPr="0009138E" w:rsidRDefault="00A86B1C" w:rsidP="00A86B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pacing w:val="-3"/>
          <w:u w:val="single"/>
        </w:rPr>
      </w:pPr>
      <w:r w:rsidRPr="0009138E">
        <w:rPr>
          <w:rFonts w:ascii="Times New Roman" w:hAnsi="Times New Roman" w:cs="Times New Roman"/>
        </w:rPr>
        <w:t>La auditoría será realizada aplicando las Normas Generales de Auditoria Gubernamental y las Normas de Auditoria de Confiabilidad de los Registros y Estados Financieros aprobado con Resolución N° CGE/073/2021 del 28 de octubre de 2021 Código NE/CE-114 Versión 1, a</w:t>
      </w:r>
      <w:r w:rsidRPr="0009138E">
        <w:rPr>
          <w:rFonts w:ascii="Times New Roman" w:hAnsi="Times New Roman" w:cs="Times New Roman"/>
          <w:bCs/>
          <w:iCs/>
          <w:spacing w:val="-3"/>
        </w:rPr>
        <w:t xml:space="preserve">simismo, la revisión comprenderá  los saldos de las cuentas contables, rubros o partidas presupuestarias expuestas en los Estados Financieros al 31 de diciembre de 2024, mediante la aplicación de pruebas selectivas, con una </w:t>
      </w:r>
      <w:r w:rsidRPr="0009138E">
        <w:rPr>
          <w:rFonts w:ascii="Times New Roman" w:hAnsi="Times New Roman" w:cs="Times New Roman"/>
        </w:rPr>
        <w:t xml:space="preserve">cobertura promedio igual o superior al 75% (sobre el total del activo y pasivo del Balance General ) y (sobre el total de Recursos y Gastos Corrientes), 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lang w:eastAsia="es-ES"/>
        </w:rPr>
      </w:pPr>
      <w:r w:rsidRPr="0009138E">
        <w:rPr>
          <w:rFonts w:ascii="Times New Roman" w:eastAsia="Calibri" w:hAnsi="Times New Roman" w:cs="Times New Roman"/>
          <w:b/>
          <w:color w:val="000000" w:themeColor="text1"/>
          <w:lang w:eastAsia="es-ES"/>
        </w:rPr>
        <w:t>PRONUNCIAMIENTO SOBRE LA CONFIABILIDAD DE LOS ESTADOS FINANCIEROS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A86B1C" w:rsidRDefault="00A86B1C" w:rsidP="00A86B1C">
      <w:pPr>
        <w:spacing w:after="0"/>
        <w:jc w:val="both"/>
        <w:rPr>
          <w:rFonts w:ascii="Times New Roman" w:hAnsi="Times New Roman" w:cs="Times New Roman"/>
          <w:lang w:val="es-BO"/>
        </w:rPr>
      </w:pPr>
      <w:r w:rsidRPr="003E2EB2">
        <w:rPr>
          <w:rFonts w:ascii="Times New Roman" w:hAnsi="Times New Roman" w:cs="Times New Roman"/>
          <w:lang w:val="es-BO"/>
        </w:rPr>
        <w:t xml:space="preserve">Los estados financieros del Gobierno Autónomo </w:t>
      </w:r>
      <w:r>
        <w:rPr>
          <w:rFonts w:ascii="Times New Roman" w:hAnsi="Times New Roman" w:cs="Times New Roman"/>
          <w:lang w:val="es-BO"/>
        </w:rPr>
        <w:t xml:space="preserve">Municipal de Sucre, </w:t>
      </w:r>
      <w:r w:rsidRPr="003E2EB2">
        <w:rPr>
          <w:rFonts w:ascii="Times New Roman" w:hAnsi="Times New Roman" w:cs="Times New Roman"/>
          <w:b/>
          <w:bCs/>
          <w:lang w:val="es-BO"/>
        </w:rPr>
        <w:t>son confiables</w:t>
      </w:r>
      <w:r w:rsidRPr="003E2EB2">
        <w:rPr>
          <w:rFonts w:ascii="Times New Roman" w:hAnsi="Times New Roman" w:cs="Times New Roman"/>
          <w:lang w:val="es-BO"/>
        </w:rPr>
        <w:t>, excepto por</w:t>
      </w:r>
      <w:r>
        <w:rPr>
          <w:rFonts w:ascii="Times New Roman" w:hAnsi="Times New Roman" w:cs="Times New Roman"/>
          <w:lang w:val="es-BO"/>
        </w:rPr>
        <w:t xml:space="preserve"> las desviaciones a las Normas B</w:t>
      </w:r>
      <w:r w:rsidRPr="003E2EB2">
        <w:rPr>
          <w:rFonts w:ascii="Times New Roman" w:hAnsi="Times New Roman" w:cs="Times New Roman"/>
          <w:lang w:val="es-BO"/>
        </w:rPr>
        <w:t>ásicas del Sistema de Contabilidad</w:t>
      </w:r>
      <w:r>
        <w:rPr>
          <w:rFonts w:ascii="Times New Roman" w:hAnsi="Times New Roman" w:cs="Times New Roman"/>
          <w:lang w:val="es-BO"/>
        </w:rPr>
        <w:t xml:space="preserve"> Integrada </w:t>
      </w:r>
      <w:r w:rsidRPr="003E2EB2">
        <w:rPr>
          <w:rFonts w:ascii="Times New Roman" w:hAnsi="Times New Roman" w:cs="Times New Roman"/>
          <w:lang w:val="es-BO"/>
        </w:rPr>
        <w:t xml:space="preserve">aprobada con Resolución Suprema N° 222957, emitidas por el Órgano Rector, detallada en </w:t>
      </w:r>
      <w:r>
        <w:rPr>
          <w:rFonts w:ascii="Times New Roman" w:hAnsi="Times New Roman" w:cs="Times New Roman"/>
          <w:lang w:val="es-BO"/>
        </w:rPr>
        <w:t>el punto 2.1 el cual no afecta</w:t>
      </w:r>
      <w:r w:rsidRPr="003E2EB2">
        <w:rPr>
          <w:rFonts w:ascii="Times New Roman" w:hAnsi="Times New Roman" w:cs="Times New Roman"/>
          <w:lang w:val="es-BO"/>
        </w:rPr>
        <w:t xml:space="preserve"> de manera sustancial la presentación confiable de los estados financieros en su conjunto, </w:t>
      </w:r>
      <w:r>
        <w:rPr>
          <w:rFonts w:ascii="Times New Roman" w:hAnsi="Times New Roman" w:cs="Times New Roman"/>
          <w:lang w:val="es-BO"/>
        </w:rPr>
        <w:t>tal</w:t>
      </w:r>
      <w:r w:rsidRPr="003E2EB2">
        <w:rPr>
          <w:rFonts w:ascii="Times New Roman" w:hAnsi="Times New Roman" w:cs="Times New Roman"/>
          <w:lang w:val="es-BO"/>
        </w:rPr>
        <w:t xml:space="preserve"> desviaci</w:t>
      </w:r>
      <w:r>
        <w:rPr>
          <w:rFonts w:ascii="Times New Roman" w:hAnsi="Times New Roman" w:cs="Times New Roman"/>
          <w:lang w:val="es-BO"/>
        </w:rPr>
        <w:t>ón</w:t>
      </w:r>
      <w:r w:rsidRPr="003E2EB2">
        <w:rPr>
          <w:rFonts w:ascii="Times New Roman" w:hAnsi="Times New Roman" w:cs="Times New Roman"/>
          <w:lang w:val="es-BO"/>
        </w:rPr>
        <w:t xml:space="preserve"> </w:t>
      </w:r>
      <w:r>
        <w:rPr>
          <w:rFonts w:ascii="Times New Roman" w:hAnsi="Times New Roman" w:cs="Times New Roman"/>
          <w:lang w:val="es-BO"/>
        </w:rPr>
        <w:t>es</w:t>
      </w:r>
      <w:r w:rsidRPr="003E2EB2">
        <w:rPr>
          <w:rFonts w:ascii="Times New Roman" w:hAnsi="Times New Roman" w:cs="Times New Roman"/>
          <w:lang w:val="es-BO"/>
        </w:rPr>
        <w:t xml:space="preserve"> significativa</w:t>
      </w:r>
      <w:r>
        <w:rPr>
          <w:rFonts w:ascii="Times New Roman" w:hAnsi="Times New Roman" w:cs="Times New Roman"/>
          <w:lang w:val="es-BO"/>
        </w:rPr>
        <w:t xml:space="preserve"> </w:t>
      </w:r>
      <w:r w:rsidRPr="003E2EB2">
        <w:rPr>
          <w:rFonts w:ascii="Times New Roman" w:hAnsi="Times New Roman" w:cs="Times New Roman"/>
          <w:lang w:val="es-BO"/>
        </w:rPr>
        <w:t xml:space="preserve">con relación </w:t>
      </w:r>
      <w:r>
        <w:rPr>
          <w:rFonts w:ascii="Times New Roman" w:hAnsi="Times New Roman" w:cs="Times New Roman"/>
          <w:lang w:val="es-BO"/>
        </w:rPr>
        <w:t xml:space="preserve">al saldo de la cuenta respecto a </w:t>
      </w:r>
      <w:r w:rsidRPr="003E2EB2">
        <w:rPr>
          <w:rFonts w:ascii="Times New Roman" w:hAnsi="Times New Roman" w:cs="Times New Roman"/>
          <w:lang w:val="es-BO"/>
        </w:rPr>
        <w:t>los niveles de significatividad aceptados</w:t>
      </w:r>
      <w:r w:rsidR="00045392">
        <w:rPr>
          <w:rFonts w:ascii="Times New Roman" w:hAnsi="Times New Roman" w:cs="Times New Roman"/>
          <w:lang w:val="es-BO"/>
        </w:rPr>
        <w:t>.</w:t>
      </w:r>
    </w:p>
    <w:p w:rsidR="00A86B1C" w:rsidRDefault="00A86B1C" w:rsidP="00A86B1C">
      <w:pPr>
        <w:spacing w:after="0"/>
        <w:jc w:val="both"/>
        <w:rPr>
          <w:rFonts w:ascii="Times New Roman" w:hAnsi="Times New Roman" w:cs="Times New Roman"/>
          <w:lang w:val="es-BO"/>
        </w:rPr>
      </w:pP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9138E">
        <w:rPr>
          <w:rFonts w:ascii="Times New Roman" w:hAnsi="Times New Roman" w:cs="Times New Roman"/>
          <w:b/>
          <w:bCs/>
        </w:rPr>
        <w:t>DEFICIENCIAS DE CONTROL INTERNO</w:t>
      </w:r>
    </w:p>
    <w:p w:rsidR="00A86B1C" w:rsidRPr="0009138E" w:rsidRDefault="00A86B1C" w:rsidP="00A86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A86B1C" w:rsidRPr="0009138E" w:rsidRDefault="00A86B1C" w:rsidP="00A86B1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09138E">
        <w:rPr>
          <w:rFonts w:ascii="Times New Roman" w:hAnsi="Times New Roman" w:cs="Times New Roman"/>
          <w:b/>
        </w:rPr>
        <w:t>PÓLIZA DE SEGURO COMPRENSIVA 3D, MULTIRRIESGO Y DE ACCIDENTES PERSONALES NO SOCIALIZADOS DENTRO DE LA ENTIDAD</w:t>
      </w:r>
    </w:p>
    <w:p w:rsidR="00A86B1C" w:rsidRPr="0009138E" w:rsidRDefault="00A86B1C" w:rsidP="00A86B1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09138E">
        <w:rPr>
          <w:rFonts w:ascii="Times New Roman" w:hAnsi="Times New Roman" w:cs="Times New Roman"/>
          <w:b/>
        </w:rPr>
        <w:t xml:space="preserve">CARPETAS INDIVIDUALES DE </w:t>
      </w:r>
      <w:r w:rsidRPr="0009138E">
        <w:rPr>
          <w:rFonts w:ascii="Times New Roman" w:eastAsia="Calibri" w:hAnsi="Times New Roman" w:cs="Times New Roman"/>
          <w:b/>
          <w:lang w:val="es-ES_tradnl"/>
        </w:rPr>
        <w:t>CUENTAS POR COBRAR A CORTO PLAZO</w:t>
      </w:r>
      <w:r w:rsidRPr="0009138E">
        <w:rPr>
          <w:rFonts w:ascii="Times New Roman" w:hAnsi="Times New Roman" w:cs="Times New Roman"/>
          <w:b/>
        </w:rPr>
        <w:t xml:space="preserve"> Y </w:t>
      </w:r>
      <w:r w:rsidRPr="0009138E">
        <w:rPr>
          <w:rFonts w:ascii="Times New Roman" w:eastAsia="Calibri" w:hAnsi="Times New Roman" w:cs="Times New Roman"/>
          <w:b/>
          <w:lang w:val="es-ES_tradnl"/>
        </w:rPr>
        <w:t>CUENTAS POR COBRAR A LARGO PLAZO,</w:t>
      </w:r>
      <w:r w:rsidRPr="0009138E">
        <w:rPr>
          <w:rFonts w:ascii="Times New Roman" w:hAnsi="Times New Roman" w:cs="Times New Roman"/>
          <w:b/>
        </w:rPr>
        <w:t xml:space="preserve"> NO PROPORCIONADOS </w:t>
      </w:r>
    </w:p>
    <w:p w:rsidR="00A86B1C" w:rsidRPr="0009138E" w:rsidRDefault="00A86B1C" w:rsidP="00A86B1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9138E">
        <w:rPr>
          <w:rFonts w:ascii="Times New Roman" w:hAnsi="Times New Roman" w:cs="Times New Roman"/>
          <w:b/>
        </w:rPr>
        <w:t xml:space="preserve">INADECUADO CÁLCULO DE LA DEPRECIACION ACUMULADA DE EDIFICIOS </w:t>
      </w:r>
    </w:p>
    <w:p w:rsidR="00A86B1C" w:rsidRPr="0009138E" w:rsidRDefault="00A86B1C" w:rsidP="00A86B1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38E">
        <w:rPr>
          <w:rFonts w:ascii="Times New Roman" w:hAnsi="Times New Roman" w:cs="Times New Roman"/>
          <w:b/>
          <w:bCs/>
          <w:color w:val="auto"/>
          <w:sz w:val="22"/>
          <w:szCs w:val="22"/>
        </w:rPr>
        <w:t>INADECUADO RESGUARDO DE LOS DOCUMENTOS DE PROPIEDAD DE BIENES INMUEBLES Y VEHÍCULOS DEL MUNICIPIO</w:t>
      </w:r>
    </w:p>
    <w:p w:rsidR="00A86B1C" w:rsidRPr="0009138E" w:rsidRDefault="00A86B1C" w:rsidP="00A86B1C">
      <w:pPr>
        <w:pStyle w:val="Prrafodelista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</w:rPr>
      </w:pPr>
      <w:r w:rsidRPr="0009138E">
        <w:rPr>
          <w:rFonts w:ascii="Times New Roman" w:hAnsi="Times New Roman" w:cs="Times New Roman"/>
          <w:b/>
          <w:color w:val="000000"/>
        </w:rPr>
        <w:lastRenderedPageBreak/>
        <w:t xml:space="preserve">ASIENTOS DE AJUSTE POR INCORPORACIONES DE EDIFICIOS SIN </w:t>
      </w:r>
      <w:r w:rsidRPr="0009138E">
        <w:rPr>
          <w:rFonts w:ascii="Times New Roman" w:hAnsi="Times New Roman" w:cs="Times New Roman"/>
          <w:b/>
          <w:bCs/>
        </w:rPr>
        <w:t>SUFICIENTE DOCUMENTACIÓN DE RESPALDO E INSUFICIENTE DESCRIPCIÓN DE LAS GLOSAS</w:t>
      </w:r>
    </w:p>
    <w:p w:rsidR="00A86B1C" w:rsidRPr="0009138E" w:rsidRDefault="00A86B1C" w:rsidP="00A86B1C">
      <w:pPr>
        <w:pStyle w:val="Prrafodelista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</w:rPr>
      </w:pPr>
      <w:r w:rsidRPr="0009138E">
        <w:rPr>
          <w:rFonts w:ascii="Times New Roman" w:hAnsi="Times New Roman" w:cs="Times New Roman"/>
          <w:b/>
        </w:rPr>
        <w:t xml:space="preserve">BIENES CON VALORES INFIMOS INCORPORADOS COMO EN EL INVENTARIO DE ACTIVOS FIJOS </w:t>
      </w:r>
    </w:p>
    <w:p w:rsidR="00A86B1C" w:rsidRPr="0009138E" w:rsidRDefault="00A86B1C" w:rsidP="00A86B1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9138E">
        <w:rPr>
          <w:rFonts w:ascii="Times New Roman" w:hAnsi="Times New Roman" w:cs="Times New Roman"/>
          <w:b/>
          <w:color w:val="auto"/>
          <w:sz w:val="22"/>
          <w:szCs w:val="22"/>
        </w:rPr>
        <w:t xml:space="preserve">DEFICIENTE ADMINISTRACIÓN DE ACTIVOS FIJOS DEVUELTOS POR LA ASEGURADORA </w:t>
      </w:r>
    </w:p>
    <w:p w:rsidR="00A86B1C" w:rsidRPr="0009138E" w:rsidRDefault="00A86B1C" w:rsidP="00A86B1C">
      <w:pPr>
        <w:pStyle w:val="Prrafodelista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9138E">
        <w:rPr>
          <w:rFonts w:ascii="Times New Roman" w:hAnsi="Times New Roman" w:cs="Times New Roman"/>
          <w:b/>
          <w:color w:val="000000"/>
        </w:rPr>
        <w:t xml:space="preserve">FALTA DE INSPECCIONES TÉCNICAS VEHICULARES </w:t>
      </w:r>
    </w:p>
    <w:p w:rsidR="00A86B1C" w:rsidRPr="0009138E" w:rsidRDefault="00A86B1C" w:rsidP="00A86B1C">
      <w:pPr>
        <w:pStyle w:val="Prrafodelista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09138E">
        <w:rPr>
          <w:rFonts w:ascii="Times New Roman" w:hAnsi="Times New Roman" w:cs="Times New Roman"/>
          <w:b/>
          <w:bCs/>
        </w:rPr>
        <w:t>FALTA DE MANTENIMIENTO EN PROYECTOS DE INVERSIÓN</w:t>
      </w:r>
    </w:p>
    <w:p w:rsidR="00A86B1C" w:rsidRPr="0009138E" w:rsidRDefault="00A86B1C" w:rsidP="00A86B1C">
      <w:pPr>
        <w:pStyle w:val="Prrafodelista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b/>
        </w:rPr>
      </w:pPr>
      <w:r w:rsidRPr="0009138E">
        <w:rPr>
          <w:rFonts w:ascii="Times New Roman" w:eastAsia="Calibri" w:hAnsi="Times New Roman" w:cs="Times New Roman"/>
          <w:b/>
        </w:rPr>
        <w:t xml:space="preserve">DIFERENCIAS ENTRE LOS SALDOS DE LAS CUENTAS A PAGAR A CORTO PLAZO SIGEP Y LAS CONFIRMACIONES DE SALDOS POR PROVEEDOR </w:t>
      </w:r>
    </w:p>
    <w:p w:rsidR="00A86B1C" w:rsidRPr="0009138E" w:rsidRDefault="00A86B1C" w:rsidP="00A86B1C">
      <w:pPr>
        <w:pStyle w:val="Prrafodelista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b/>
        </w:rPr>
      </w:pPr>
      <w:r w:rsidRPr="0009138E">
        <w:rPr>
          <w:rFonts w:ascii="Times New Roman" w:hAnsi="Times New Roman" w:cs="Times New Roman"/>
          <w:b/>
          <w:lang w:eastAsia="es-BO"/>
        </w:rPr>
        <w:t>FALTA DE AJUSTE CONTABLE DEL DEBITO AUTOMATICO REALIZADO POR COMISIONES BANCARIAS DE LA DEUDA PÚBLICA EXTERNA</w:t>
      </w:r>
    </w:p>
    <w:p w:rsidR="00A86B1C" w:rsidRPr="00E42C1E" w:rsidRDefault="00A86B1C" w:rsidP="00A86B1C">
      <w:pPr>
        <w:pStyle w:val="Prrafodelista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</w:rPr>
      </w:pPr>
      <w:r w:rsidRPr="00E42C1E">
        <w:rPr>
          <w:rFonts w:ascii="Times New Roman" w:hAnsi="Times New Roman" w:cs="Times New Roman"/>
          <w:b/>
        </w:rPr>
        <w:t>INFORMACIÓN INCORRECTA EN LAS NOTAS A LOS ESTADOS FINANCIEROS</w:t>
      </w:r>
    </w:p>
    <w:p w:rsidR="00A86B1C" w:rsidRPr="00E42C1E" w:rsidRDefault="00A86B1C" w:rsidP="00A86B1C">
      <w:pPr>
        <w:pStyle w:val="Prrafodelista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E42C1E">
        <w:rPr>
          <w:rFonts w:ascii="Times New Roman" w:hAnsi="Times New Roman" w:cs="Times New Roman"/>
          <w:b/>
        </w:rPr>
        <w:t xml:space="preserve">DEMORA EXCESIVA EN EL PAGO DE BENEFICIOS SOCIALES </w:t>
      </w:r>
    </w:p>
    <w:p w:rsidR="00A86B1C" w:rsidRPr="00E42C1E" w:rsidRDefault="00A86B1C" w:rsidP="00A86B1C">
      <w:pPr>
        <w:spacing w:after="160"/>
        <w:ind w:left="360"/>
        <w:jc w:val="both"/>
        <w:outlineLvl w:val="0"/>
        <w:rPr>
          <w:rFonts w:ascii="Times New Roman" w:hAnsi="Times New Roman" w:cs="Times New Roman"/>
          <w:b/>
        </w:rPr>
      </w:pPr>
    </w:p>
    <w:p w:rsidR="00A86B1C" w:rsidRPr="0009138E" w:rsidRDefault="00A86B1C" w:rsidP="00A86B1C">
      <w:pPr>
        <w:pStyle w:val="Prrafodelist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lang w:val="es-BO"/>
        </w:rPr>
      </w:pPr>
    </w:p>
    <w:p w:rsidR="00A86B1C" w:rsidRPr="0009138E" w:rsidRDefault="00A86B1C" w:rsidP="00A86B1C">
      <w:pPr>
        <w:spacing w:after="0"/>
        <w:ind w:left="284"/>
        <w:jc w:val="both"/>
        <w:rPr>
          <w:rFonts w:ascii="Times New Roman" w:eastAsia="Calibri" w:hAnsi="Times New Roman" w:cs="Times New Roman"/>
          <w:lang w:val="es-BO"/>
        </w:rPr>
      </w:pPr>
    </w:p>
    <w:p w:rsidR="00A86B1C" w:rsidRPr="0009138E" w:rsidRDefault="00A86B1C" w:rsidP="00A86B1C">
      <w:pPr>
        <w:spacing w:after="0"/>
        <w:ind w:left="284"/>
        <w:jc w:val="center"/>
        <w:rPr>
          <w:rFonts w:ascii="Times New Roman" w:eastAsia="Calibri" w:hAnsi="Times New Roman" w:cs="Times New Roman"/>
        </w:rPr>
      </w:pPr>
      <w:r w:rsidRPr="0009138E">
        <w:rPr>
          <w:rFonts w:ascii="Times New Roman" w:eastAsia="Calibri" w:hAnsi="Times New Roman" w:cs="Times New Roman"/>
        </w:rPr>
        <w:t>Sucre, Febrero 2025</w:t>
      </w:r>
    </w:p>
    <w:p w:rsidR="00506EC8" w:rsidRDefault="00506EC8"/>
    <w:sectPr w:rsidR="00506EC8" w:rsidSect="005F6B34">
      <w:pgSz w:w="12304" w:h="18711" w:code="5"/>
      <w:pgMar w:top="1417" w:right="1183" w:bottom="24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3F56"/>
    <w:multiLevelType w:val="hybridMultilevel"/>
    <w:tmpl w:val="60842CFC"/>
    <w:lvl w:ilvl="0" w:tplc="2A846B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1C"/>
    <w:rsid w:val="00045392"/>
    <w:rsid w:val="000A4160"/>
    <w:rsid w:val="00402B31"/>
    <w:rsid w:val="00474C17"/>
    <w:rsid w:val="00506EC8"/>
    <w:rsid w:val="005F6B34"/>
    <w:rsid w:val="00700040"/>
    <w:rsid w:val="007E3936"/>
    <w:rsid w:val="00951B6E"/>
    <w:rsid w:val="00A86B1C"/>
    <w:rsid w:val="00D2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C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6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6B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6B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6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6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6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6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6B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6B1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6B1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6B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6B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6B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6B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6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6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6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6B1C"/>
    <w:rPr>
      <w:i/>
      <w:iCs/>
      <w:color w:val="404040" w:themeColor="text1" w:themeTint="BF"/>
    </w:rPr>
  </w:style>
  <w:style w:type="paragraph" w:styleId="Prrafodelista">
    <w:name w:val="List Paragraph"/>
    <w:aliases w:val="Titulo,List Paragraph 1,List-Bulleted,Fase,CUADRO,titulo 5,GRÁFICO,centrado 10,MAPA,GRÁFICOS,GRAFICO,Viñetas"/>
    <w:basedOn w:val="Normal"/>
    <w:link w:val="PrrafodelistaCar"/>
    <w:uiPriority w:val="34"/>
    <w:qFormat/>
    <w:rsid w:val="00A86B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6B1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6B1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6B1C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Titulo Car,List Paragraph 1 Car,List-Bulleted Car,Fase Car,CUADRO Car,titulo 5 Car,GRÁFICO Car,centrado 10 Car,MAPA Car,GRÁFICOS Car,GRAFICO Car,Viñetas Car"/>
    <w:link w:val="Prrafodelista"/>
    <w:uiPriority w:val="34"/>
    <w:locked/>
    <w:rsid w:val="00A86B1C"/>
  </w:style>
  <w:style w:type="paragraph" w:customStyle="1" w:styleId="Default">
    <w:name w:val="Default"/>
    <w:rsid w:val="00A86B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86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B1C"/>
    <w:rPr>
      <w:kern w:val="0"/>
      <w:lang w:val="es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C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6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6B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6B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6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6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6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6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6B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6B1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6B1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6B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6B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6B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6B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6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6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6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6B1C"/>
    <w:rPr>
      <w:i/>
      <w:iCs/>
      <w:color w:val="404040" w:themeColor="text1" w:themeTint="BF"/>
    </w:rPr>
  </w:style>
  <w:style w:type="paragraph" w:styleId="Prrafodelista">
    <w:name w:val="List Paragraph"/>
    <w:aliases w:val="Titulo,List Paragraph 1,List-Bulleted,Fase,CUADRO,titulo 5,GRÁFICO,centrado 10,MAPA,GRÁFICOS,GRAFICO,Viñetas"/>
    <w:basedOn w:val="Normal"/>
    <w:link w:val="PrrafodelistaCar"/>
    <w:uiPriority w:val="34"/>
    <w:qFormat/>
    <w:rsid w:val="00A86B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6B1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6B1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6B1C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Titulo Car,List Paragraph 1 Car,List-Bulleted Car,Fase Car,CUADRO Car,titulo 5 Car,GRÁFICO Car,centrado 10 Car,MAPA Car,GRÁFICOS Car,GRAFICO Car,Viñetas Car"/>
    <w:link w:val="Prrafodelista"/>
    <w:uiPriority w:val="34"/>
    <w:locked/>
    <w:rsid w:val="00A86B1C"/>
  </w:style>
  <w:style w:type="paragraph" w:customStyle="1" w:styleId="Default">
    <w:name w:val="Default"/>
    <w:rsid w:val="00A86B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86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B1C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Andrea Pérez Revollo</dc:creator>
  <cp:lastModifiedBy>MDVL</cp:lastModifiedBy>
  <cp:revision>2</cp:revision>
  <dcterms:created xsi:type="dcterms:W3CDTF">2025-03-06T22:04:00Z</dcterms:created>
  <dcterms:modified xsi:type="dcterms:W3CDTF">2025-03-06T22:04:00Z</dcterms:modified>
</cp:coreProperties>
</file>