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C0" w:rsidRPr="00752311" w:rsidRDefault="00BE36C0" w:rsidP="00BE36C0">
      <w:pPr>
        <w:jc w:val="center"/>
        <w:rPr>
          <w:rFonts w:ascii="Arial Narrow" w:eastAsia="Times New Roman" w:hAnsi="Arial Narrow" w:cs="Times New Roman"/>
          <w:b/>
          <w:sz w:val="22"/>
          <w:szCs w:val="22"/>
          <w:lang w:val="es-ES"/>
        </w:rPr>
      </w:pPr>
      <w:bookmarkStart w:id="0" w:name="_GoBack"/>
      <w:bookmarkEnd w:id="0"/>
      <w:r w:rsidRPr="00752311">
        <w:rPr>
          <w:rFonts w:ascii="Arial Narrow" w:eastAsia="Times New Roman" w:hAnsi="Arial Narrow" w:cs="Times New Roman"/>
          <w:b/>
          <w:sz w:val="22"/>
          <w:szCs w:val="22"/>
          <w:lang w:val="es-ES"/>
        </w:rPr>
        <w:t>RESUMEN EJECUTIVO</w:t>
      </w:r>
    </w:p>
    <w:p w:rsidR="00BE36C0" w:rsidRPr="00752311" w:rsidRDefault="00BE36C0" w:rsidP="00BE36C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2"/>
          <w:szCs w:val="22"/>
          <w:lang w:val="es-ES"/>
        </w:rPr>
      </w:pPr>
      <w:bookmarkStart w:id="1" w:name="_Toc444378354"/>
      <w:r w:rsidRPr="00752311">
        <w:rPr>
          <w:rFonts w:ascii="Arial Narrow" w:eastAsia="Times New Roman" w:hAnsi="Arial Narrow" w:cs="Times New Roman"/>
          <w:b/>
          <w:sz w:val="22"/>
          <w:szCs w:val="22"/>
        </w:rPr>
        <w:t xml:space="preserve">INFORME DE AUDITORÍA INTERNA </w:t>
      </w:r>
      <w:bookmarkEnd w:id="1"/>
      <w:r w:rsidRPr="00752311">
        <w:rPr>
          <w:rFonts w:ascii="Arial Narrow" w:eastAsia="Times New Roman" w:hAnsi="Arial Narrow" w:cs="Times New Roman"/>
          <w:b/>
          <w:sz w:val="22"/>
          <w:szCs w:val="22"/>
          <w:lang w:val="es-ES"/>
        </w:rPr>
        <w:t xml:space="preserve">INF. D.A.I. Nº </w:t>
      </w:r>
      <w:r>
        <w:rPr>
          <w:rFonts w:ascii="Arial Narrow" w:eastAsia="Times New Roman" w:hAnsi="Arial Narrow" w:cs="Times New Roman"/>
          <w:b/>
          <w:sz w:val="22"/>
          <w:szCs w:val="22"/>
          <w:lang w:val="es-ES"/>
        </w:rPr>
        <w:t>05/2025</w:t>
      </w:r>
    </w:p>
    <w:p w:rsidR="00BE36C0" w:rsidRPr="00752311" w:rsidRDefault="00BE36C0" w:rsidP="00BE36C0">
      <w:pPr>
        <w:spacing w:after="160"/>
        <w:jc w:val="center"/>
        <w:rPr>
          <w:rFonts w:ascii="Arial Narrow" w:eastAsia="Times New Roman" w:hAnsi="Arial Narrow" w:cs="Times New Roman"/>
          <w:b/>
          <w:sz w:val="22"/>
          <w:szCs w:val="22"/>
          <w:lang w:val="es-ES"/>
        </w:rPr>
      </w:pPr>
    </w:p>
    <w:p w:rsidR="00BE36C0" w:rsidRPr="00966442" w:rsidRDefault="00BE36C0" w:rsidP="00BE36C0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2"/>
          <w:szCs w:val="22"/>
          <w:lang w:val="es-BO" w:eastAsia="es-BO"/>
        </w:rPr>
      </w:pPr>
      <w:bookmarkStart w:id="2" w:name="_Toc444378355"/>
      <w:bookmarkStart w:id="3" w:name="_Toc33555473"/>
      <w:r w:rsidRPr="00966442">
        <w:rPr>
          <w:rFonts w:ascii="Arial Narrow" w:eastAsia="Times New Roman" w:hAnsi="Arial Narrow" w:cs="Times New Roman"/>
          <w:sz w:val="22"/>
          <w:szCs w:val="22"/>
          <w:lang w:val="es-BO" w:eastAsia="es-BO"/>
        </w:rPr>
        <w:t>En cumplimiento del Plan Operativo Anual de Gestión 2025 y Comunicación Interna Cite N° 001/2025 de 14 de enero de 2025 de la Dirección de Auditoria Interna del GAMS se ejecutó la “</w:t>
      </w:r>
      <w:r w:rsidRPr="00966442">
        <w:rPr>
          <w:rFonts w:ascii="Arial Narrow" w:eastAsia="Times New Roman" w:hAnsi="Arial Narrow" w:cs="Times New Roman"/>
          <w:b/>
          <w:bCs/>
          <w:sz w:val="22"/>
          <w:szCs w:val="22"/>
          <w:lang w:val="es-BO" w:eastAsia="es-BO"/>
        </w:rPr>
        <w:t>Auditoría Operacional del Impuesto Directo a los Hidrocarburos (IDH) del Gobierno Autónomo Municipal de Sucre correspondiente a la Gestión 2024</w:t>
      </w:r>
      <w:r w:rsidRPr="00966442">
        <w:rPr>
          <w:rFonts w:ascii="Arial Narrow" w:eastAsia="Times New Roman" w:hAnsi="Arial Narrow" w:cs="Times New Roman"/>
          <w:sz w:val="22"/>
          <w:szCs w:val="22"/>
          <w:lang w:val="es-BO" w:eastAsia="es-BO"/>
        </w:rPr>
        <w:t>”, en aplicación al artículo 2, numeral 8, parágrafo III, del Decreto Supremo N° 28421 de 21 de octubre de 2005, en la cual indica: “</w:t>
      </w:r>
      <w:r w:rsidRPr="00966442">
        <w:rPr>
          <w:rFonts w:ascii="Arial Narrow" w:eastAsia="Times New Roman" w:hAnsi="Arial Narrow" w:cs="Times New Roman"/>
          <w:i/>
          <w:iCs/>
          <w:sz w:val="22"/>
          <w:szCs w:val="22"/>
          <w:lang w:val="es-BO" w:eastAsia="es-BO"/>
        </w:rPr>
        <w:t>Los beneficiarios presentarán, de acuerdo a normativa legal vigente, Estados Financieros auditados sobre la ejecución de los recursos institucionales y Auditorias operativas sobre el cumplimiento de sus Programas Operativos Anuales, con pronunciamiento expreso sobre la utilización y destino de los recursos provenientes del IDH”.</w:t>
      </w:r>
    </w:p>
    <w:p w:rsidR="00BE36C0" w:rsidRPr="009650B4" w:rsidRDefault="00BE36C0" w:rsidP="00BE36C0">
      <w:pPr>
        <w:rPr>
          <w:rFonts w:ascii="Arial Narrow" w:eastAsia="Times New Roman" w:hAnsi="Arial Narrow"/>
          <w:b/>
          <w:sz w:val="22"/>
          <w:szCs w:val="22"/>
        </w:rPr>
      </w:pPr>
      <w:r w:rsidRPr="009650B4">
        <w:rPr>
          <w:rFonts w:ascii="Arial Narrow" w:eastAsia="Times New Roman" w:hAnsi="Arial Narrow"/>
          <w:b/>
          <w:sz w:val="22"/>
          <w:szCs w:val="22"/>
        </w:rPr>
        <w:t>OBJETIVO</w:t>
      </w:r>
    </w:p>
    <w:p w:rsidR="00BE36C0" w:rsidRPr="00752311" w:rsidRDefault="00BE36C0" w:rsidP="00BE36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x-none" w:eastAsia="x-none"/>
        </w:rPr>
      </w:pPr>
    </w:p>
    <w:p w:rsidR="00BE36C0" w:rsidRDefault="00BE36C0" w:rsidP="00BE36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2"/>
          <w:szCs w:val="22"/>
        </w:rPr>
      </w:pPr>
      <w:r>
        <w:rPr>
          <w:rFonts w:ascii="Arial Narrow" w:eastAsia="Times New Roman" w:hAnsi="Arial Narrow" w:cs="Times New Roman"/>
          <w:color w:val="000000"/>
          <w:sz w:val="22"/>
          <w:szCs w:val="22"/>
        </w:rPr>
        <w:t>Los objetivos de la auditoria operacional son</w:t>
      </w:r>
      <w:r w:rsidRPr="00752311"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 emitir</w:t>
      </w:r>
      <w:r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 un</w:t>
      </w:r>
      <w:r w:rsidRPr="00752311"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 pronunciamiento sobre:</w:t>
      </w:r>
      <w:r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 </w:t>
      </w:r>
    </w:p>
    <w:p w:rsidR="00BE36C0" w:rsidRDefault="00BE36C0" w:rsidP="00BE36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2"/>
          <w:szCs w:val="22"/>
        </w:rPr>
      </w:pPr>
    </w:p>
    <w:p w:rsidR="00BE36C0" w:rsidRDefault="00BE36C0" w:rsidP="00BE36C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2"/>
          <w:szCs w:val="22"/>
        </w:rPr>
      </w:pPr>
      <w:r>
        <w:rPr>
          <w:rFonts w:ascii="Arial Narrow" w:eastAsia="Times New Roman" w:hAnsi="Arial Narrow" w:cs="Times New Roman"/>
          <w:color w:val="000000"/>
          <w:sz w:val="22"/>
          <w:szCs w:val="22"/>
        </w:rPr>
        <w:t>La eficacia de las o</w:t>
      </w:r>
      <w:r w:rsidRPr="00B70E01">
        <w:rPr>
          <w:rFonts w:ascii="Arial Narrow" w:eastAsia="Times New Roman" w:hAnsi="Arial Narrow" w:cs="Times New Roman"/>
          <w:color w:val="000000"/>
          <w:sz w:val="22"/>
          <w:szCs w:val="22"/>
        </w:rPr>
        <w:t>peraciones financiadas con recursos del Impuesto Directo a los Hidrocarburos (IDH)</w:t>
      </w:r>
      <w:r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 de manera individual y en conjunto por Unidad Ejecutora</w:t>
      </w:r>
      <w:r w:rsidRPr="00B70E01"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, </w:t>
      </w:r>
      <w:r>
        <w:rPr>
          <w:rFonts w:ascii="Arial Narrow" w:eastAsia="Times New Roman" w:hAnsi="Arial Narrow" w:cs="Times New Roman"/>
          <w:color w:val="000000"/>
          <w:sz w:val="22"/>
          <w:szCs w:val="22"/>
        </w:rPr>
        <w:t>formulados</w:t>
      </w:r>
      <w:r w:rsidRPr="00B70E01"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 en el Programa de Inversiones con Recursos del IDH incorporado en el Plan Operativo Anual del Gobierno Autónomo Municipal de Sucre correspondiente a la Gestión 202</w:t>
      </w:r>
      <w:r>
        <w:rPr>
          <w:rFonts w:ascii="Arial Narrow" w:eastAsia="Times New Roman" w:hAnsi="Arial Narrow" w:cs="Times New Roman"/>
          <w:color w:val="000000"/>
          <w:sz w:val="22"/>
          <w:szCs w:val="22"/>
        </w:rPr>
        <w:t>4</w:t>
      </w:r>
      <w:r w:rsidRPr="00B70E01">
        <w:rPr>
          <w:rFonts w:ascii="Arial Narrow" w:eastAsia="Times New Roman" w:hAnsi="Arial Narrow" w:cs="Times New Roman"/>
          <w:color w:val="000000"/>
          <w:sz w:val="22"/>
          <w:szCs w:val="22"/>
        </w:rPr>
        <w:t>.</w:t>
      </w:r>
    </w:p>
    <w:p w:rsidR="00BE36C0" w:rsidRDefault="00BE36C0" w:rsidP="00BE36C0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 Narrow" w:eastAsia="Times New Roman" w:hAnsi="Arial Narrow" w:cs="Times New Roman"/>
          <w:color w:val="000000"/>
          <w:sz w:val="22"/>
          <w:szCs w:val="22"/>
        </w:rPr>
      </w:pPr>
    </w:p>
    <w:p w:rsidR="00BE36C0" w:rsidRDefault="00BE36C0" w:rsidP="00BE36C0">
      <w:pPr>
        <w:pStyle w:val="Prrafodelista"/>
        <w:numPr>
          <w:ilvl w:val="0"/>
          <w:numId w:val="2"/>
        </w:numPr>
        <w:jc w:val="both"/>
        <w:rPr>
          <w:rFonts w:ascii="Arial Narrow" w:eastAsia="Times New Roman" w:hAnsi="Arial Narrow" w:cs="Times New Roman"/>
          <w:color w:val="000000"/>
          <w:sz w:val="22"/>
          <w:szCs w:val="22"/>
        </w:rPr>
      </w:pPr>
      <w:r>
        <w:rPr>
          <w:rFonts w:ascii="Arial Narrow" w:eastAsia="Times New Roman" w:hAnsi="Arial Narrow" w:cs="Times New Roman"/>
          <w:color w:val="000000"/>
          <w:sz w:val="22"/>
          <w:szCs w:val="22"/>
        </w:rPr>
        <w:t>L</w:t>
      </w:r>
      <w:r w:rsidRPr="00617A1B">
        <w:rPr>
          <w:rFonts w:ascii="Arial Narrow" w:eastAsia="Times New Roman" w:hAnsi="Arial Narrow" w:cs="Times New Roman"/>
          <w:color w:val="000000"/>
          <w:sz w:val="22"/>
          <w:szCs w:val="22"/>
        </w:rPr>
        <w:t>a utilización de los recursos del IDH</w:t>
      </w:r>
      <w:r>
        <w:rPr>
          <w:rFonts w:ascii="Arial Narrow" w:eastAsia="Times New Roman" w:hAnsi="Arial Narrow" w:cs="Times New Roman"/>
          <w:color w:val="000000"/>
          <w:sz w:val="22"/>
          <w:szCs w:val="22"/>
        </w:rPr>
        <w:t>, si estos se encuentran conforme a las</w:t>
      </w:r>
      <w:r w:rsidRPr="00617A1B"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 competencias establecidas en el Decreto Supremo Nº 28421 de 21 de octubre de 2005, Decreto Supremo Nº 29565 de 14 de mayo de 2008 y otras disposiciones legales relacionadas, así como el destino de los bienes y servicios adquiridos</w:t>
      </w:r>
      <w:r>
        <w:rPr>
          <w:rFonts w:ascii="Arial Narrow" w:eastAsia="Times New Roman" w:hAnsi="Arial Narrow" w:cs="Times New Roman"/>
          <w:color w:val="000000"/>
          <w:sz w:val="22"/>
          <w:szCs w:val="22"/>
        </w:rPr>
        <w:t>, si están siendo utilizados en</w:t>
      </w:r>
      <w:r w:rsidRPr="00617A1B"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 los fines </w:t>
      </w:r>
      <w:r>
        <w:rPr>
          <w:rFonts w:ascii="Arial Narrow" w:eastAsia="Times New Roman" w:hAnsi="Arial Narrow" w:cs="Times New Roman"/>
          <w:color w:val="000000"/>
          <w:sz w:val="22"/>
          <w:szCs w:val="22"/>
        </w:rPr>
        <w:t>institucionales</w:t>
      </w:r>
      <w:r w:rsidRPr="00617A1B"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 y/o</w:t>
      </w:r>
      <w:r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 han sido</w:t>
      </w:r>
      <w:r w:rsidRPr="00617A1B"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 entrega</w:t>
      </w:r>
      <w:r>
        <w:rPr>
          <w:rFonts w:ascii="Arial Narrow" w:eastAsia="Times New Roman" w:hAnsi="Arial Narrow" w:cs="Times New Roman"/>
          <w:color w:val="000000"/>
          <w:sz w:val="22"/>
          <w:szCs w:val="22"/>
        </w:rPr>
        <w:t>dos</w:t>
      </w:r>
      <w:r w:rsidRPr="00617A1B"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 a los beneficiarios finales.</w:t>
      </w:r>
    </w:p>
    <w:p w:rsidR="00BE36C0" w:rsidRPr="00B95B50" w:rsidRDefault="00BE36C0" w:rsidP="00BE36C0">
      <w:pPr>
        <w:pStyle w:val="Prrafodelista"/>
        <w:jc w:val="both"/>
        <w:rPr>
          <w:rFonts w:ascii="Arial Narrow" w:eastAsia="Times New Roman" w:hAnsi="Arial Narrow" w:cs="Times New Roman"/>
          <w:color w:val="000000"/>
          <w:sz w:val="22"/>
          <w:szCs w:val="22"/>
        </w:rPr>
      </w:pPr>
    </w:p>
    <w:p w:rsidR="00BE36C0" w:rsidRPr="00F655B1" w:rsidRDefault="00BE36C0" w:rsidP="00BE36C0">
      <w:pPr>
        <w:rPr>
          <w:rFonts w:ascii="Arial Narrow" w:eastAsia="Times New Roman" w:hAnsi="Arial Narrow"/>
          <w:b/>
          <w:sz w:val="22"/>
          <w:szCs w:val="22"/>
        </w:rPr>
      </w:pPr>
      <w:r w:rsidRPr="00F655B1">
        <w:rPr>
          <w:rFonts w:ascii="Arial Narrow" w:eastAsia="Times New Roman" w:hAnsi="Arial Narrow"/>
          <w:b/>
          <w:sz w:val="22"/>
          <w:szCs w:val="22"/>
        </w:rPr>
        <w:t xml:space="preserve">OBJETO </w:t>
      </w:r>
    </w:p>
    <w:p w:rsidR="00BE36C0" w:rsidRPr="00752311" w:rsidRDefault="00BE36C0" w:rsidP="00BE36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D0D0D"/>
          <w:sz w:val="22"/>
          <w:szCs w:val="22"/>
          <w:lang w:val="es-ES_tradnl"/>
        </w:rPr>
      </w:pPr>
    </w:p>
    <w:p w:rsidR="00BE36C0" w:rsidRPr="00752311" w:rsidRDefault="00BE36C0" w:rsidP="00BE36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D0D0D"/>
          <w:sz w:val="22"/>
          <w:szCs w:val="22"/>
          <w:lang w:val="es-ES_tradnl"/>
        </w:rPr>
      </w:pPr>
      <w:r w:rsidRPr="00752311">
        <w:rPr>
          <w:rFonts w:ascii="Arial Narrow" w:eastAsia="Times New Roman" w:hAnsi="Arial Narrow" w:cs="Times New Roman"/>
          <w:color w:val="0D0D0D"/>
          <w:sz w:val="22"/>
          <w:szCs w:val="22"/>
          <w:lang w:val="es-ES_tradnl"/>
        </w:rPr>
        <w:t>El objeto de la a</w:t>
      </w:r>
      <w:r>
        <w:rPr>
          <w:rFonts w:ascii="Arial Narrow" w:eastAsia="Times New Roman" w:hAnsi="Arial Narrow" w:cs="Times New Roman"/>
          <w:color w:val="0D0D0D"/>
          <w:sz w:val="22"/>
          <w:szCs w:val="22"/>
          <w:lang w:val="es-ES_tradnl"/>
        </w:rPr>
        <w:t>uditoría está constituido por</w:t>
      </w:r>
      <w:r w:rsidRPr="00752311">
        <w:rPr>
          <w:rFonts w:ascii="Arial Narrow" w:eastAsia="Times New Roman" w:hAnsi="Arial Narrow" w:cs="Times New Roman"/>
          <w:color w:val="0D0D0D"/>
          <w:sz w:val="22"/>
          <w:szCs w:val="22"/>
          <w:lang w:val="es-ES_tradnl"/>
        </w:rPr>
        <w:t xml:space="preserve"> </w:t>
      </w:r>
      <w:r>
        <w:rPr>
          <w:rFonts w:ascii="Arial Narrow" w:eastAsia="Times New Roman" w:hAnsi="Arial Narrow" w:cs="Times New Roman"/>
          <w:color w:val="0D0D0D"/>
          <w:sz w:val="22"/>
          <w:szCs w:val="22"/>
          <w:lang w:val="es-ES_tradnl"/>
        </w:rPr>
        <w:t xml:space="preserve">la </w:t>
      </w:r>
      <w:r w:rsidRPr="00752311">
        <w:rPr>
          <w:rFonts w:ascii="Arial Narrow" w:eastAsia="Times New Roman" w:hAnsi="Arial Narrow" w:cs="Times New Roman"/>
          <w:color w:val="0D0D0D"/>
          <w:sz w:val="22"/>
          <w:szCs w:val="22"/>
          <w:lang w:val="es-ES_tradnl"/>
        </w:rPr>
        <w:t>documentación</w:t>
      </w:r>
      <w:r>
        <w:rPr>
          <w:rFonts w:ascii="Arial Narrow" w:eastAsia="Times New Roman" w:hAnsi="Arial Narrow" w:cs="Times New Roman"/>
          <w:color w:val="0D0D0D"/>
          <w:sz w:val="22"/>
          <w:szCs w:val="22"/>
          <w:lang w:val="es-ES_tradnl"/>
        </w:rPr>
        <w:t xml:space="preserve"> de los procesos administrativos, operativos, registros de ejecución de gastos (preventivos) e información técnica</w:t>
      </w:r>
      <w:r w:rsidRPr="00752311">
        <w:rPr>
          <w:rFonts w:ascii="Arial Narrow" w:eastAsia="Times New Roman" w:hAnsi="Arial Narrow" w:cs="Times New Roman"/>
          <w:color w:val="0D0D0D"/>
          <w:sz w:val="22"/>
          <w:szCs w:val="22"/>
          <w:lang w:val="es-ES_tradnl"/>
        </w:rPr>
        <w:t xml:space="preserve"> </w:t>
      </w:r>
      <w:r>
        <w:rPr>
          <w:rFonts w:ascii="Arial Narrow" w:eastAsia="Times New Roman" w:hAnsi="Arial Narrow" w:cs="Times New Roman"/>
          <w:color w:val="0D0D0D"/>
          <w:sz w:val="22"/>
          <w:szCs w:val="22"/>
          <w:lang w:val="es-ES_tradnl"/>
        </w:rPr>
        <w:t>y financiera que respalda a las operaciones financiadas con recursos del IDH de la gestión 2024,</w:t>
      </w:r>
      <w:r w:rsidRPr="00752311">
        <w:rPr>
          <w:rFonts w:ascii="Arial Narrow" w:eastAsia="Times New Roman" w:hAnsi="Arial Narrow" w:cs="Times New Roman"/>
          <w:color w:val="0D0D0D"/>
          <w:sz w:val="22"/>
          <w:szCs w:val="22"/>
          <w:lang w:val="es-ES_tradnl"/>
        </w:rPr>
        <w:t xml:space="preserve"> </w:t>
      </w:r>
      <w:r>
        <w:rPr>
          <w:rFonts w:ascii="Arial Narrow" w:eastAsia="Times New Roman" w:hAnsi="Arial Narrow" w:cs="Times New Roman"/>
          <w:color w:val="0D0D0D"/>
          <w:sz w:val="22"/>
          <w:szCs w:val="22"/>
          <w:lang w:val="es-ES_tradnl"/>
        </w:rPr>
        <w:t>cuya relación comprende a los siguientes</w:t>
      </w:r>
      <w:r w:rsidRPr="00752311">
        <w:rPr>
          <w:rFonts w:ascii="Arial Narrow" w:eastAsia="Times New Roman" w:hAnsi="Arial Narrow" w:cs="Times New Roman"/>
          <w:color w:val="0D0D0D"/>
          <w:sz w:val="22"/>
          <w:szCs w:val="22"/>
          <w:lang w:val="es-ES_tradnl"/>
        </w:rPr>
        <w:t>:</w:t>
      </w:r>
    </w:p>
    <w:p w:rsidR="00BE36C0" w:rsidRPr="00752311" w:rsidRDefault="00BE36C0" w:rsidP="00BE36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D0D0D"/>
          <w:sz w:val="22"/>
          <w:szCs w:val="22"/>
          <w:lang w:val="es-ES_tradnl"/>
        </w:rPr>
      </w:pPr>
    </w:p>
    <w:p w:rsidR="00BE36C0" w:rsidRPr="005245F1" w:rsidRDefault="00BE36C0" w:rsidP="00BE36C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Times New Roman" w:hAnsi="Arial Narrow" w:cs="Times New Roman"/>
          <w:sz w:val="22"/>
          <w:szCs w:val="22"/>
        </w:rPr>
      </w:pPr>
      <w:r>
        <w:rPr>
          <w:rFonts w:ascii="Arial Narrow" w:eastAsia="Times New Roman" w:hAnsi="Arial Narrow" w:cs="Times New Roman"/>
          <w:sz w:val="22"/>
          <w:szCs w:val="22"/>
        </w:rPr>
        <w:t>Plan Operativo Anual y Presupuesto Institucional del GAMS G</w:t>
      </w:r>
      <w:r w:rsidRPr="005245F1">
        <w:rPr>
          <w:rFonts w:ascii="Arial Narrow" w:eastAsia="Times New Roman" w:hAnsi="Arial Narrow" w:cs="Times New Roman"/>
          <w:sz w:val="22"/>
          <w:szCs w:val="22"/>
        </w:rPr>
        <w:t>estión 202</w:t>
      </w:r>
      <w:r>
        <w:rPr>
          <w:rFonts w:ascii="Arial Narrow" w:eastAsia="Times New Roman" w:hAnsi="Arial Narrow" w:cs="Times New Roman"/>
          <w:sz w:val="22"/>
          <w:szCs w:val="22"/>
        </w:rPr>
        <w:t>4</w:t>
      </w:r>
      <w:r w:rsidRPr="005245F1">
        <w:rPr>
          <w:rFonts w:ascii="Arial Narrow" w:eastAsia="Times New Roman" w:hAnsi="Arial Narrow" w:cs="Times New Roman"/>
          <w:sz w:val="22"/>
          <w:szCs w:val="22"/>
        </w:rPr>
        <w:t xml:space="preserve"> e instrumentos que sustentan su formulación, </w:t>
      </w:r>
      <w:r w:rsidRPr="005245F1">
        <w:rPr>
          <w:rFonts w:ascii="Arial Narrow" w:eastAsia="Times New Roman" w:hAnsi="Arial Narrow" w:cs="Times New Roman"/>
          <w:sz w:val="22"/>
          <w:szCs w:val="22"/>
          <w:lang w:val="es-ES"/>
        </w:rPr>
        <w:t>aprobado mediante</w:t>
      </w:r>
      <w:r w:rsidRPr="00783FB0">
        <w:rPr>
          <w:rFonts w:ascii="Arial Narrow" w:eastAsia="Calibri" w:hAnsi="Arial Narrow" w:cs="Times New Roman"/>
          <w:sz w:val="22"/>
          <w:szCs w:val="22"/>
          <w:lang w:val="es-ES" w:eastAsia="en-US"/>
        </w:rPr>
        <w:t xml:space="preserve"> la</w:t>
      </w:r>
      <w:r>
        <w:rPr>
          <w:rFonts w:ascii="Arial Narrow" w:eastAsia="Calibri" w:hAnsi="Arial Narrow" w:cs="Times New Roman"/>
          <w:sz w:val="22"/>
          <w:szCs w:val="22"/>
          <w:lang w:val="es-ES" w:eastAsia="en-US"/>
        </w:rPr>
        <w:t xml:space="preserve"> Ley Municipal Autonómica Nº 362</w:t>
      </w:r>
      <w:r w:rsidRPr="00783FB0">
        <w:rPr>
          <w:rFonts w:ascii="Arial Narrow" w:eastAsia="Calibri" w:hAnsi="Arial Narrow" w:cs="Times New Roman"/>
          <w:sz w:val="22"/>
          <w:szCs w:val="22"/>
          <w:lang w:val="es-ES" w:eastAsia="en-US"/>
        </w:rPr>
        <w:t>/202</w:t>
      </w:r>
      <w:r>
        <w:rPr>
          <w:rFonts w:ascii="Arial Narrow" w:eastAsia="Calibri" w:hAnsi="Arial Narrow" w:cs="Times New Roman"/>
          <w:sz w:val="22"/>
          <w:szCs w:val="22"/>
          <w:lang w:val="es-ES" w:eastAsia="en-US"/>
        </w:rPr>
        <w:t>3 de 07</w:t>
      </w:r>
      <w:r w:rsidRPr="00783FB0">
        <w:rPr>
          <w:rFonts w:ascii="Arial Narrow" w:eastAsia="Calibri" w:hAnsi="Arial Narrow" w:cs="Times New Roman"/>
          <w:sz w:val="22"/>
          <w:szCs w:val="22"/>
          <w:lang w:val="es-ES" w:eastAsia="en-US"/>
        </w:rPr>
        <w:t xml:space="preserve"> de septiembre de 202</w:t>
      </w:r>
      <w:r>
        <w:rPr>
          <w:rFonts w:ascii="Arial Narrow" w:eastAsia="Calibri" w:hAnsi="Arial Narrow" w:cs="Times New Roman"/>
          <w:sz w:val="22"/>
          <w:szCs w:val="22"/>
          <w:lang w:val="es-ES" w:eastAsia="en-US"/>
        </w:rPr>
        <w:t>3.</w:t>
      </w:r>
    </w:p>
    <w:p w:rsidR="00BE36C0" w:rsidRPr="005245F1" w:rsidRDefault="00BE36C0" w:rsidP="00BE36C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Times New Roman" w:hAnsi="Arial Narrow" w:cs="Times New Roman"/>
          <w:sz w:val="22"/>
          <w:szCs w:val="22"/>
        </w:rPr>
      </w:pPr>
      <w:r w:rsidRPr="005245F1">
        <w:rPr>
          <w:rFonts w:ascii="Arial Narrow" w:eastAsia="Times New Roman" w:hAnsi="Arial Narrow" w:cs="Times New Roman"/>
          <w:sz w:val="22"/>
          <w:szCs w:val="22"/>
        </w:rPr>
        <w:t>Plan Operativo Anual modificado y/o Ajustado</w:t>
      </w:r>
      <w:r>
        <w:rPr>
          <w:rFonts w:ascii="Arial Narrow" w:eastAsia="Times New Roman" w:hAnsi="Arial Narrow" w:cs="Times New Roman"/>
          <w:sz w:val="22"/>
          <w:szCs w:val="22"/>
        </w:rPr>
        <w:t>.</w:t>
      </w:r>
    </w:p>
    <w:p w:rsidR="00BE36C0" w:rsidRPr="00752311" w:rsidRDefault="00BE36C0" w:rsidP="00BE36C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Times New Roman" w:hAnsi="Arial Narrow" w:cs="Times New Roman"/>
          <w:sz w:val="22"/>
          <w:szCs w:val="22"/>
        </w:rPr>
      </w:pPr>
      <w:r w:rsidRPr="00752311">
        <w:rPr>
          <w:rFonts w:ascii="Arial Narrow" w:eastAsia="Times New Roman" w:hAnsi="Arial Narrow" w:cs="Times New Roman"/>
          <w:color w:val="000000"/>
          <w:sz w:val="22"/>
          <w:szCs w:val="22"/>
          <w:lang w:val="es-ES" w:eastAsia="es-ES"/>
        </w:rPr>
        <w:t xml:space="preserve">Programa de Inversiones 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val="es-ES" w:eastAsia="es-ES"/>
        </w:rPr>
        <w:t xml:space="preserve">con recursos del </w:t>
      </w:r>
      <w:r w:rsidRPr="00752311">
        <w:rPr>
          <w:rFonts w:ascii="Arial Narrow" w:eastAsia="Times New Roman" w:hAnsi="Arial Narrow" w:cs="Times New Roman"/>
          <w:color w:val="000000"/>
          <w:sz w:val="22"/>
          <w:szCs w:val="22"/>
          <w:lang w:val="es-ES" w:eastAsia="es-ES"/>
        </w:rPr>
        <w:t>IDH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val="es-ES" w:eastAsia="es-ES"/>
        </w:rPr>
        <w:t xml:space="preserve"> Gestión 2024.</w:t>
      </w:r>
    </w:p>
    <w:p w:rsidR="00BE36C0" w:rsidRPr="00752311" w:rsidRDefault="00BE36C0" w:rsidP="00BE36C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Times New Roman" w:hAnsi="Arial Narrow" w:cs="Times New Roman"/>
          <w:sz w:val="22"/>
          <w:szCs w:val="22"/>
        </w:rPr>
      </w:pPr>
      <w:r w:rsidRPr="00752311">
        <w:rPr>
          <w:rFonts w:ascii="Arial Narrow" w:eastAsia="Times New Roman" w:hAnsi="Arial Narrow" w:cs="Times New Roman"/>
          <w:sz w:val="22"/>
          <w:szCs w:val="22"/>
        </w:rPr>
        <w:t>Reportes de Ejecución Presupuestaria del SIGEP</w:t>
      </w:r>
      <w:r>
        <w:rPr>
          <w:rFonts w:ascii="Arial Narrow" w:eastAsia="Times New Roman" w:hAnsi="Arial Narrow" w:cs="Times New Roman"/>
          <w:sz w:val="22"/>
          <w:szCs w:val="22"/>
        </w:rPr>
        <w:t>.</w:t>
      </w:r>
    </w:p>
    <w:p w:rsidR="00BE36C0" w:rsidRPr="00752311" w:rsidRDefault="00BE36C0" w:rsidP="00BE36C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Times New Roman" w:hAnsi="Arial Narrow" w:cs="Times New Roman"/>
          <w:sz w:val="22"/>
          <w:szCs w:val="22"/>
        </w:rPr>
      </w:pPr>
      <w:r w:rsidRPr="00752311">
        <w:rPr>
          <w:rFonts w:ascii="Arial Narrow" w:eastAsia="Times New Roman" w:hAnsi="Arial Narrow" w:cs="Times New Roman"/>
          <w:sz w:val="22"/>
          <w:szCs w:val="22"/>
        </w:rPr>
        <w:t>Estado de la Ejecución Presupuestaria de Gasto</w:t>
      </w:r>
      <w:r>
        <w:rPr>
          <w:rFonts w:ascii="Arial Narrow" w:eastAsia="Times New Roman" w:hAnsi="Arial Narrow" w:cs="Times New Roman"/>
          <w:sz w:val="22"/>
          <w:szCs w:val="22"/>
        </w:rPr>
        <w:t>s correspondiente a gestión 2024.</w:t>
      </w:r>
    </w:p>
    <w:p w:rsidR="00BE36C0" w:rsidRPr="00752311" w:rsidRDefault="00BE36C0" w:rsidP="00BE36C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Times New Roman" w:hAnsi="Arial Narrow" w:cs="Times New Roman"/>
          <w:sz w:val="22"/>
          <w:szCs w:val="22"/>
        </w:rPr>
      </w:pPr>
      <w:r>
        <w:rPr>
          <w:rFonts w:ascii="Arial Narrow" w:eastAsia="Times New Roman" w:hAnsi="Arial Narrow" w:cs="Times New Roman"/>
          <w:sz w:val="22"/>
          <w:szCs w:val="22"/>
        </w:rPr>
        <w:t>Registros de E</w:t>
      </w:r>
      <w:r w:rsidRPr="00752311">
        <w:rPr>
          <w:rFonts w:ascii="Arial Narrow" w:eastAsia="Times New Roman" w:hAnsi="Arial Narrow" w:cs="Times New Roman"/>
          <w:sz w:val="22"/>
          <w:szCs w:val="22"/>
        </w:rPr>
        <w:t>jecución de gastos referentes a los gastos efectuados con recurso</w:t>
      </w:r>
      <w:r>
        <w:rPr>
          <w:rFonts w:ascii="Arial Narrow" w:eastAsia="Times New Roman" w:hAnsi="Arial Narrow" w:cs="Times New Roman"/>
          <w:sz w:val="22"/>
          <w:szCs w:val="22"/>
        </w:rPr>
        <w:t>s del IDH (Preventivos).</w:t>
      </w:r>
    </w:p>
    <w:p w:rsidR="00BE36C0" w:rsidRPr="00752311" w:rsidRDefault="00BE36C0" w:rsidP="00BE36C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Times New Roman" w:hAnsi="Arial Narrow" w:cs="Times New Roman"/>
          <w:sz w:val="22"/>
          <w:szCs w:val="22"/>
        </w:rPr>
      </w:pPr>
      <w:r>
        <w:rPr>
          <w:rFonts w:ascii="Arial Narrow" w:eastAsia="Times New Roman" w:hAnsi="Arial Narrow" w:cs="Times New Roman"/>
          <w:sz w:val="22"/>
          <w:szCs w:val="22"/>
        </w:rPr>
        <w:t>Informe físico financiero de</w:t>
      </w:r>
      <w:r w:rsidRPr="00752311">
        <w:rPr>
          <w:rFonts w:ascii="Arial Narrow" w:eastAsia="Times New Roman" w:hAnsi="Arial Narrow" w:cs="Times New Roman"/>
          <w:sz w:val="22"/>
          <w:szCs w:val="22"/>
        </w:rPr>
        <w:t xml:space="preserve"> proyectos y actividades ejecutados con recursos del IDH</w:t>
      </w:r>
      <w:r>
        <w:rPr>
          <w:rFonts w:ascii="Arial Narrow" w:eastAsia="Times New Roman" w:hAnsi="Arial Narrow" w:cs="Times New Roman"/>
          <w:sz w:val="22"/>
          <w:szCs w:val="22"/>
        </w:rPr>
        <w:t>.</w:t>
      </w:r>
    </w:p>
    <w:p w:rsidR="00BE36C0" w:rsidRDefault="00BE36C0" w:rsidP="00BE36C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Times New Roman" w:hAnsi="Arial Narrow" w:cs="Times New Roman"/>
          <w:sz w:val="22"/>
          <w:szCs w:val="22"/>
        </w:rPr>
      </w:pPr>
      <w:r w:rsidRPr="00752311">
        <w:rPr>
          <w:rFonts w:ascii="Arial Narrow" w:eastAsia="Times New Roman" w:hAnsi="Arial Narrow" w:cs="Times New Roman"/>
          <w:sz w:val="22"/>
          <w:szCs w:val="22"/>
        </w:rPr>
        <w:t xml:space="preserve">Informes de </w:t>
      </w:r>
      <w:r>
        <w:rPr>
          <w:rFonts w:ascii="Arial Narrow" w:eastAsia="Times New Roman" w:hAnsi="Arial Narrow" w:cs="Times New Roman"/>
          <w:sz w:val="22"/>
          <w:szCs w:val="22"/>
        </w:rPr>
        <w:t>S</w:t>
      </w:r>
      <w:r w:rsidRPr="00752311">
        <w:rPr>
          <w:rFonts w:ascii="Arial Narrow" w:eastAsia="Times New Roman" w:hAnsi="Arial Narrow" w:cs="Times New Roman"/>
          <w:sz w:val="22"/>
          <w:szCs w:val="22"/>
        </w:rPr>
        <w:t xml:space="preserve">eguimiento </w:t>
      </w:r>
      <w:r>
        <w:rPr>
          <w:rFonts w:ascii="Arial Narrow" w:eastAsia="Times New Roman" w:hAnsi="Arial Narrow" w:cs="Times New Roman"/>
          <w:sz w:val="22"/>
          <w:szCs w:val="22"/>
        </w:rPr>
        <w:t>a las operaciones ejecutados con recursos del IDH.</w:t>
      </w:r>
    </w:p>
    <w:p w:rsidR="00BE36C0" w:rsidRPr="00752311" w:rsidRDefault="00BE36C0" w:rsidP="00BE36C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Times New Roman" w:hAnsi="Arial Narrow" w:cs="Times New Roman"/>
          <w:sz w:val="22"/>
          <w:szCs w:val="22"/>
        </w:rPr>
      </w:pPr>
      <w:r w:rsidRPr="00752311">
        <w:rPr>
          <w:rFonts w:ascii="Arial Narrow" w:eastAsia="Times New Roman" w:hAnsi="Arial Narrow" w:cs="Times New Roman"/>
          <w:sz w:val="22"/>
          <w:szCs w:val="22"/>
        </w:rPr>
        <w:t>In</w:t>
      </w:r>
      <w:r>
        <w:rPr>
          <w:rFonts w:ascii="Arial Narrow" w:eastAsia="Times New Roman" w:hAnsi="Arial Narrow" w:cs="Times New Roman"/>
          <w:sz w:val="22"/>
          <w:szCs w:val="22"/>
        </w:rPr>
        <w:t>forme de Evaluación F</w:t>
      </w:r>
      <w:r w:rsidRPr="00752311">
        <w:rPr>
          <w:rFonts w:ascii="Arial Narrow" w:eastAsia="Times New Roman" w:hAnsi="Arial Narrow" w:cs="Times New Roman"/>
          <w:sz w:val="22"/>
          <w:szCs w:val="22"/>
        </w:rPr>
        <w:t>inal de la Ejecución Física – Financiera del POA y presupuesto 202</w:t>
      </w:r>
      <w:r>
        <w:rPr>
          <w:rFonts w:ascii="Arial Narrow" w:eastAsia="Times New Roman" w:hAnsi="Arial Narrow" w:cs="Times New Roman"/>
          <w:sz w:val="22"/>
          <w:szCs w:val="22"/>
        </w:rPr>
        <w:t>4</w:t>
      </w:r>
      <w:r w:rsidRPr="00752311">
        <w:rPr>
          <w:rFonts w:ascii="Arial Narrow" w:eastAsia="Times New Roman" w:hAnsi="Arial Narrow" w:cs="Times New Roman"/>
          <w:sz w:val="22"/>
          <w:szCs w:val="22"/>
        </w:rPr>
        <w:t>, con recursos IDH.</w:t>
      </w:r>
    </w:p>
    <w:p w:rsidR="00BE36C0" w:rsidRPr="00752311" w:rsidRDefault="00BE36C0" w:rsidP="00BE36C0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Arial Narrow" w:eastAsia="Times New Roman" w:hAnsi="Arial Narrow" w:cs="Times New Roman"/>
          <w:sz w:val="22"/>
          <w:szCs w:val="22"/>
        </w:rPr>
      </w:pPr>
      <w:r w:rsidRPr="00752311">
        <w:rPr>
          <w:rFonts w:ascii="Arial Narrow" w:eastAsia="Times New Roman" w:hAnsi="Arial Narrow" w:cs="Times New Roman"/>
          <w:sz w:val="22"/>
          <w:szCs w:val="22"/>
        </w:rPr>
        <w:t>Planilla</w:t>
      </w:r>
      <w:r>
        <w:rPr>
          <w:rFonts w:ascii="Arial Narrow" w:eastAsia="Times New Roman" w:hAnsi="Arial Narrow" w:cs="Times New Roman"/>
          <w:sz w:val="22"/>
          <w:szCs w:val="22"/>
        </w:rPr>
        <w:t>s de Avance de Obra de los proyectos de inversión pública.</w:t>
      </w:r>
    </w:p>
    <w:p w:rsidR="00BE36C0" w:rsidRPr="00752311" w:rsidRDefault="00BE36C0" w:rsidP="00BE36C0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Arial Narrow" w:eastAsia="Times New Roman" w:hAnsi="Arial Narrow" w:cs="Times New Roman"/>
          <w:sz w:val="22"/>
          <w:szCs w:val="22"/>
        </w:rPr>
      </w:pPr>
      <w:r w:rsidRPr="00752311">
        <w:rPr>
          <w:rFonts w:ascii="Arial Narrow" w:eastAsia="Times New Roman" w:hAnsi="Arial Narrow" w:cs="Times New Roman"/>
          <w:sz w:val="22"/>
          <w:szCs w:val="22"/>
        </w:rPr>
        <w:t>Actas de Recepción Provisional y Definitiva</w:t>
      </w:r>
      <w:r>
        <w:rPr>
          <w:rFonts w:ascii="Arial Narrow" w:eastAsia="Times New Roman" w:hAnsi="Arial Narrow" w:cs="Times New Roman"/>
          <w:sz w:val="22"/>
          <w:szCs w:val="22"/>
        </w:rPr>
        <w:t xml:space="preserve"> de los proyectos de inversión.</w:t>
      </w:r>
    </w:p>
    <w:p w:rsidR="00BE36C0" w:rsidRPr="00752311" w:rsidRDefault="00BE36C0" w:rsidP="00BE36C0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Arial Narrow" w:eastAsia="Times New Roman" w:hAnsi="Arial Narrow" w:cs="Times New Roman"/>
          <w:sz w:val="22"/>
          <w:szCs w:val="22"/>
        </w:rPr>
      </w:pPr>
      <w:r w:rsidRPr="00752311">
        <w:rPr>
          <w:rFonts w:ascii="Arial Narrow" w:eastAsia="Times New Roman" w:hAnsi="Arial Narrow" w:cs="Times New Roman"/>
          <w:sz w:val="22"/>
          <w:szCs w:val="22"/>
        </w:rPr>
        <w:t xml:space="preserve">Actas de Recepción y </w:t>
      </w:r>
      <w:r>
        <w:rPr>
          <w:rFonts w:ascii="Arial Narrow" w:eastAsia="Times New Roman" w:hAnsi="Arial Narrow" w:cs="Times New Roman"/>
          <w:sz w:val="22"/>
          <w:szCs w:val="22"/>
        </w:rPr>
        <w:t>Entrega de Bienes y/o Servicios.</w:t>
      </w:r>
    </w:p>
    <w:p w:rsidR="00BE36C0" w:rsidRPr="00752311" w:rsidRDefault="00BE36C0" w:rsidP="00BE36C0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Arial Narrow" w:eastAsia="Times New Roman" w:hAnsi="Arial Narrow" w:cs="Times New Roman"/>
          <w:sz w:val="22"/>
          <w:szCs w:val="22"/>
        </w:rPr>
      </w:pPr>
      <w:r w:rsidRPr="00752311">
        <w:rPr>
          <w:rFonts w:ascii="Arial Narrow" w:eastAsia="Times New Roman" w:hAnsi="Arial Narrow" w:cs="Times New Roman"/>
          <w:sz w:val="22"/>
          <w:szCs w:val="22"/>
        </w:rPr>
        <w:t>Ficha de Inspección Física de Obras</w:t>
      </w:r>
      <w:r>
        <w:rPr>
          <w:rFonts w:ascii="Arial Narrow" w:eastAsia="Times New Roman" w:hAnsi="Arial Narrow" w:cs="Times New Roman"/>
          <w:sz w:val="22"/>
          <w:szCs w:val="22"/>
        </w:rPr>
        <w:t>.</w:t>
      </w:r>
    </w:p>
    <w:p w:rsidR="00BE36C0" w:rsidRPr="00752311" w:rsidRDefault="00BE36C0" w:rsidP="00BE36C0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Arial Narrow" w:eastAsia="Times New Roman" w:hAnsi="Arial Narrow" w:cs="Times New Roman"/>
          <w:sz w:val="22"/>
          <w:szCs w:val="22"/>
        </w:rPr>
      </w:pPr>
      <w:r w:rsidRPr="00752311">
        <w:rPr>
          <w:rFonts w:ascii="Arial Narrow" w:eastAsia="Times New Roman" w:hAnsi="Arial Narrow" w:cs="Times New Roman"/>
          <w:sz w:val="22"/>
          <w:szCs w:val="22"/>
        </w:rPr>
        <w:t>Informes Técnicos del Supervisor y Fiscal</w:t>
      </w:r>
      <w:r>
        <w:rPr>
          <w:rFonts w:ascii="Arial Narrow" w:eastAsia="Times New Roman" w:hAnsi="Arial Narrow" w:cs="Times New Roman"/>
          <w:sz w:val="22"/>
          <w:szCs w:val="22"/>
        </w:rPr>
        <w:t>.</w:t>
      </w:r>
    </w:p>
    <w:p w:rsidR="00BE36C0" w:rsidRPr="00752311" w:rsidRDefault="00BE36C0" w:rsidP="00BE36C0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Arial Narrow" w:eastAsia="Times New Roman" w:hAnsi="Arial Narrow" w:cs="Times New Roman"/>
          <w:sz w:val="22"/>
          <w:szCs w:val="22"/>
        </w:rPr>
      </w:pPr>
      <w:r w:rsidRPr="00752311">
        <w:rPr>
          <w:rFonts w:ascii="Arial Narrow" w:eastAsia="Times New Roman" w:hAnsi="Arial Narrow" w:cs="Times New Roman"/>
          <w:sz w:val="22"/>
          <w:szCs w:val="22"/>
        </w:rPr>
        <w:t>Fichas Técnicas de Seguimiento de Proyectos.</w:t>
      </w:r>
    </w:p>
    <w:p w:rsidR="00BE36C0" w:rsidRPr="00752311" w:rsidRDefault="00BE36C0" w:rsidP="00BE36C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Times New Roman" w:hAnsi="Arial Narrow" w:cs="Times New Roman"/>
          <w:sz w:val="22"/>
          <w:szCs w:val="22"/>
        </w:rPr>
      </w:pPr>
      <w:r w:rsidRPr="00752311">
        <w:rPr>
          <w:rFonts w:ascii="Arial Narrow" w:eastAsia="Times New Roman" w:hAnsi="Arial Narrow" w:cs="Times New Roman"/>
          <w:sz w:val="22"/>
          <w:szCs w:val="22"/>
        </w:rPr>
        <w:t>Otra documentación e información relacionada al objeto de la auditoria</w:t>
      </w:r>
      <w:r>
        <w:rPr>
          <w:rFonts w:ascii="Arial Narrow" w:eastAsia="Times New Roman" w:hAnsi="Arial Narrow" w:cs="Times New Roman"/>
          <w:sz w:val="22"/>
          <w:szCs w:val="22"/>
        </w:rPr>
        <w:t>.</w:t>
      </w:r>
    </w:p>
    <w:p w:rsidR="00BE36C0" w:rsidRPr="00752311" w:rsidRDefault="00BE36C0" w:rsidP="00BE36C0">
      <w:pPr>
        <w:spacing w:after="0"/>
        <w:jc w:val="both"/>
        <w:rPr>
          <w:rFonts w:ascii="Arial Narrow" w:eastAsia="Times New Roman" w:hAnsi="Arial Narrow" w:cs="Times New Roman"/>
          <w:b/>
          <w:sz w:val="22"/>
          <w:szCs w:val="22"/>
        </w:rPr>
      </w:pPr>
    </w:p>
    <w:p w:rsidR="00BE36C0" w:rsidRPr="00752311" w:rsidRDefault="00BE36C0" w:rsidP="00BE36C0">
      <w:pPr>
        <w:spacing w:after="0"/>
        <w:ind w:left="782" w:hanging="782"/>
        <w:jc w:val="both"/>
        <w:rPr>
          <w:rFonts w:ascii="Arial Narrow" w:eastAsia="Times New Roman" w:hAnsi="Arial Narrow" w:cs="Times New Roman"/>
          <w:b/>
          <w:sz w:val="22"/>
          <w:szCs w:val="22"/>
        </w:rPr>
      </w:pPr>
      <w:r w:rsidRPr="00752311">
        <w:rPr>
          <w:rFonts w:ascii="Arial Narrow" w:eastAsia="Times New Roman" w:hAnsi="Arial Narrow" w:cs="Times New Roman"/>
          <w:b/>
          <w:sz w:val="22"/>
          <w:szCs w:val="22"/>
        </w:rPr>
        <w:t>CONCLUSIÓN</w:t>
      </w:r>
      <w:bookmarkEnd w:id="2"/>
      <w:bookmarkEnd w:id="3"/>
    </w:p>
    <w:p w:rsidR="00BE36C0" w:rsidRDefault="00BE36C0" w:rsidP="00BE36C0">
      <w:pPr>
        <w:spacing w:after="0" w:line="240" w:lineRule="auto"/>
        <w:ind w:right="335"/>
        <w:jc w:val="both"/>
        <w:rPr>
          <w:rFonts w:ascii="Arial Narrow" w:eastAsia="Times New Roman" w:hAnsi="Arial Narrow" w:cs="Times New Roman"/>
          <w:sz w:val="22"/>
          <w:szCs w:val="22"/>
          <w:highlight w:val="yellow"/>
          <w:lang w:val="es-ES" w:eastAsia="es-ES"/>
        </w:rPr>
      </w:pPr>
      <w:r w:rsidRPr="00752311">
        <w:rPr>
          <w:rFonts w:ascii="Arial Narrow" w:eastAsia="Times New Roman" w:hAnsi="Arial Narrow" w:cs="Times New Roman"/>
          <w:sz w:val="22"/>
          <w:szCs w:val="22"/>
        </w:rPr>
        <w:br/>
      </w:r>
    </w:p>
    <w:p w:rsidR="00BE36C0" w:rsidRPr="006945C3" w:rsidRDefault="00BE36C0" w:rsidP="00BE36C0">
      <w:pPr>
        <w:spacing w:after="0" w:line="240" w:lineRule="auto"/>
        <w:ind w:right="335"/>
        <w:jc w:val="both"/>
        <w:rPr>
          <w:rFonts w:ascii="Arial Narrow" w:eastAsia="Times New Roman" w:hAnsi="Arial Narrow" w:cs="Times New Roman"/>
          <w:sz w:val="22"/>
          <w:szCs w:val="22"/>
          <w:lang w:val="es-ES"/>
        </w:rPr>
      </w:pPr>
      <w:r w:rsidRPr="006945C3">
        <w:rPr>
          <w:rFonts w:ascii="Arial Narrow" w:eastAsia="Times New Roman" w:hAnsi="Arial Narrow" w:cs="Times New Roman"/>
          <w:sz w:val="22"/>
          <w:szCs w:val="22"/>
          <w:lang w:val="es-ES"/>
        </w:rPr>
        <w:t>Como resultado de la  sumatoria de la aplicación</w:t>
      </w:r>
      <w:r>
        <w:rPr>
          <w:rFonts w:ascii="Arial Narrow" w:eastAsia="Times New Roman" w:hAnsi="Arial Narrow" w:cs="Times New Roman"/>
          <w:sz w:val="22"/>
          <w:szCs w:val="22"/>
          <w:lang w:val="es-ES"/>
        </w:rPr>
        <w:t xml:space="preserve"> del indicador de Eficacia -</w:t>
      </w:r>
      <w:r w:rsidRPr="006945C3">
        <w:rPr>
          <w:rFonts w:ascii="Arial Narrow" w:eastAsia="Times New Roman" w:hAnsi="Arial Narrow" w:cs="Times New Roman"/>
          <w:sz w:val="22"/>
          <w:szCs w:val="22"/>
          <w:lang w:val="es-ES"/>
        </w:rPr>
        <w:t xml:space="preserve"> medición del grado de cumplimiento de los objetivos</w:t>
      </w:r>
      <w:r>
        <w:rPr>
          <w:rFonts w:ascii="Arial Narrow" w:eastAsia="Times New Roman" w:hAnsi="Arial Narrow" w:cs="Times New Roman"/>
          <w:sz w:val="22"/>
          <w:szCs w:val="22"/>
          <w:lang w:val="es-ES"/>
        </w:rPr>
        <w:t xml:space="preserve"> logrados a nivel de productos; </w:t>
      </w:r>
      <w:r w:rsidRPr="006945C3">
        <w:rPr>
          <w:rFonts w:ascii="Arial Narrow" w:eastAsia="Times New Roman" w:hAnsi="Arial Narrow" w:cs="Times New Roman"/>
          <w:sz w:val="22"/>
          <w:szCs w:val="22"/>
          <w:lang w:val="es-ES"/>
        </w:rPr>
        <w:t>el Gobierno Autónomo Municipal de Sucre</w:t>
      </w:r>
      <w:r>
        <w:rPr>
          <w:rFonts w:ascii="Arial Narrow" w:eastAsia="Times New Roman" w:hAnsi="Arial Narrow" w:cs="Times New Roman"/>
          <w:sz w:val="22"/>
          <w:szCs w:val="22"/>
          <w:lang w:val="es-ES"/>
        </w:rPr>
        <w:t xml:space="preserve"> en la gestión 2024 ha obtenido</w:t>
      </w:r>
      <w:r w:rsidRPr="006945C3">
        <w:rPr>
          <w:rFonts w:ascii="Arial Narrow" w:eastAsia="Times New Roman" w:hAnsi="Arial Narrow" w:cs="Times New Roman"/>
          <w:sz w:val="22"/>
          <w:szCs w:val="22"/>
          <w:lang w:val="es-ES"/>
        </w:rPr>
        <w:t xml:space="preserve"> una calificación de </w:t>
      </w:r>
      <w:r w:rsidRPr="006945C3">
        <w:rPr>
          <w:rFonts w:ascii="Arial Narrow" w:eastAsia="Times New Roman" w:hAnsi="Arial Narrow" w:cs="Times New Roman"/>
          <w:b/>
          <w:sz w:val="22"/>
          <w:szCs w:val="22"/>
          <w:lang w:val="es-ES"/>
        </w:rPr>
        <w:t>Eficaz</w:t>
      </w:r>
      <w:r w:rsidRPr="006945C3">
        <w:rPr>
          <w:rFonts w:ascii="Arial Narrow" w:eastAsia="Times New Roman" w:hAnsi="Arial Narrow" w:cs="Times New Roman"/>
          <w:sz w:val="22"/>
          <w:szCs w:val="22"/>
          <w:lang w:val="es-ES"/>
        </w:rPr>
        <w:t xml:space="preserve"> con un porcentaje del </w:t>
      </w:r>
      <w:r>
        <w:rPr>
          <w:rFonts w:ascii="Arial Narrow" w:eastAsia="Times New Roman" w:hAnsi="Arial Narrow" w:cs="Times New Roman"/>
          <w:b/>
          <w:sz w:val="22"/>
          <w:szCs w:val="22"/>
          <w:lang w:val="es-ES"/>
        </w:rPr>
        <w:t>93,34</w:t>
      </w:r>
      <w:r w:rsidRPr="006945C3">
        <w:rPr>
          <w:rFonts w:ascii="Arial Narrow" w:eastAsia="Times New Roman" w:hAnsi="Arial Narrow" w:cs="Times New Roman"/>
          <w:b/>
          <w:sz w:val="22"/>
          <w:szCs w:val="22"/>
          <w:lang w:val="es-ES"/>
        </w:rPr>
        <w:t>%,</w:t>
      </w:r>
      <w:r w:rsidRPr="006945C3">
        <w:rPr>
          <w:rFonts w:ascii="Arial Narrow" w:eastAsia="Times New Roman" w:hAnsi="Arial Narrow" w:cs="Times New Roman"/>
          <w:sz w:val="22"/>
          <w:szCs w:val="22"/>
          <w:lang w:val="es-ES"/>
        </w:rPr>
        <w:t xml:space="preserve"> como se muestra: </w:t>
      </w:r>
    </w:p>
    <w:p w:rsidR="00BE36C0" w:rsidRPr="006945C3" w:rsidRDefault="00BE36C0" w:rsidP="00BE36C0">
      <w:pPr>
        <w:spacing w:after="0" w:line="240" w:lineRule="auto"/>
        <w:ind w:right="335"/>
        <w:rPr>
          <w:rFonts w:ascii="Arial Narrow" w:eastAsia="Times New Roman" w:hAnsi="Arial Narrow" w:cs="Times New Roman"/>
          <w:sz w:val="22"/>
          <w:szCs w:val="22"/>
          <w:lang w:val="es-ES"/>
        </w:rPr>
      </w:pPr>
    </w:p>
    <w:tbl>
      <w:tblPr>
        <w:tblW w:w="5070" w:type="dxa"/>
        <w:tblInd w:w="2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0"/>
        <w:gridCol w:w="1509"/>
        <w:gridCol w:w="2051"/>
      </w:tblGrid>
      <w:tr w:rsidR="00BE36C0" w:rsidRPr="006945C3" w:rsidTr="009C558F">
        <w:trPr>
          <w:trHeight w:val="300"/>
        </w:trPr>
        <w:tc>
          <w:tcPr>
            <w:tcW w:w="1510" w:type="dxa"/>
            <w:shd w:val="clear" w:color="auto" w:fill="B3DDF2"/>
            <w:noWrap/>
            <w:vAlign w:val="bottom"/>
            <w:hideMark/>
          </w:tcPr>
          <w:p w:rsidR="00BE36C0" w:rsidRPr="006945C3" w:rsidRDefault="00BE36C0" w:rsidP="009C55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lang w:val="es-ES" w:eastAsia="es-ES"/>
              </w:rPr>
            </w:pPr>
            <w:r w:rsidRPr="006945C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lang w:val="es-ES" w:eastAsia="es-ES"/>
              </w:rPr>
              <w:t>RESULTADO</w:t>
            </w:r>
          </w:p>
        </w:tc>
        <w:tc>
          <w:tcPr>
            <w:tcW w:w="1509" w:type="dxa"/>
            <w:shd w:val="clear" w:color="auto" w:fill="B3DDF2"/>
            <w:noWrap/>
            <w:vAlign w:val="bottom"/>
            <w:hideMark/>
          </w:tcPr>
          <w:p w:rsidR="00BE36C0" w:rsidRPr="006945C3" w:rsidRDefault="00BE36C0" w:rsidP="009C55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lang w:val="es-ES" w:eastAsia="es-ES"/>
              </w:rPr>
            </w:pPr>
            <w:r w:rsidRPr="006945C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lang w:val="es-ES" w:eastAsia="es-ES"/>
              </w:rPr>
              <w:t>RANGO</w:t>
            </w:r>
          </w:p>
        </w:tc>
        <w:tc>
          <w:tcPr>
            <w:tcW w:w="2051" w:type="dxa"/>
            <w:shd w:val="clear" w:color="auto" w:fill="B3DDF2"/>
            <w:noWrap/>
            <w:vAlign w:val="bottom"/>
            <w:hideMark/>
          </w:tcPr>
          <w:p w:rsidR="00BE36C0" w:rsidRPr="006945C3" w:rsidRDefault="00BE36C0" w:rsidP="009C55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lang w:val="es-ES" w:eastAsia="es-ES"/>
              </w:rPr>
            </w:pPr>
            <w:r w:rsidRPr="006945C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lang w:val="es-ES" w:eastAsia="es-ES"/>
              </w:rPr>
              <w:t>CALIFICACIÓN</w:t>
            </w:r>
          </w:p>
        </w:tc>
      </w:tr>
      <w:tr w:rsidR="00BE36C0" w:rsidRPr="006945C3" w:rsidTr="009C558F">
        <w:trPr>
          <w:trHeight w:val="70"/>
        </w:trPr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BE36C0" w:rsidRPr="006945C3" w:rsidRDefault="00BE36C0" w:rsidP="009C55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404040"/>
                <w:sz w:val="20"/>
                <w:lang w:val="es-ES" w:eastAsia="es-ES"/>
              </w:rPr>
            </w:pP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BE36C0" w:rsidRPr="006945C3" w:rsidRDefault="00BE36C0" w:rsidP="009C55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lang w:val="es-ES" w:eastAsia="es-ES"/>
              </w:rPr>
            </w:pPr>
            <w:r w:rsidRPr="006945C3">
              <w:rPr>
                <w:rFonts w:ascii="Arial Narrow" w:eastAsia="Times New Roman" w:hAnsi="Arial Narrow" w:cs="Times New Roman"/>
                <w:color w:val="000000"/>
                <w:sz w:val="20"/>
                <w:lang w:val="es-ES" w:eastAsia="es-ES"/>
              </w:rPr>
              <w:t>0% - 69%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BE36C0" w:rsidRPr="006945C3" w:rsidRDefault="00BE36C0" w:rsidP="009C55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lang w:val="es-ES" w:eastAsia="es-ES"/>
              </w:rPr>
            </w:pPr>
            <w:r w:rsidRPr="006945C3">
              <w:rPr>
                <w:rFonts w:ascii="Arial Narrow" w:eastAsia="Times New Roman" w:hAnsi="Arial Narrow" w:cs="Times New Roman"/>
                <w:color w:val="000000"/>
                <w:sz w:val="20"/>
                <w:lang w:val="es-ES" w:eastAsia="es-ES"/>
              </w:rPr>
              <w:t>Ineficaz</w:t>
            </w:r>
          </w:p>
        </w:tc>
      </w:tr>
      <w:tr w:rsidR="00BE36C0" w:rsidRPr="006945C3" w:rsidTr="009C558F">
        <w:trPr>
          <w:trHeight w:val="317"/>
        </w:trPr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BE36C0" w:rsidRPr="00273810" w:rsidRDefault="00BE36C0" w:rsidP="009C55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2"/>
                <w:szCs w:val="22"/>
                <w:lang w:val="es-ES" w:eastAsia="es-ES"/>
              </w:rPr>
            </w:pPr>
            <w:r w:rsidRPr="00273810">
              <w:rPr>
                <w:rFonts w:ascii="Arial Narrow" w:eastAsia="Times New Roman" w:hAnsi="Arial Narrow" w:cs="Times New Roman"/>
                <w:b/>
                <w:color w:val="000000"/>
                <w:sz w:val="22"/>
                <w:szCs w:val="22"/>
                <w:lang w:val="es-ES" w:eastAsia="es-ES"/>
              </w:rPr>
              <w:t>93,34%,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:rsidR="00BE36C0" w:rsidRPr="00273810" w:rsidRDefault="00BE36C0" w:rsidP="009C55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2"/>
                <w:szCs w:val="22"/>
                <w:lang w:val="es-ES" w:eastAsia="es-ES"/>
              </w:rPr>
            </w:pPr>
            <w:r w:rsidRPr="00273810">
              <w:rPr>
                <w:rFonts w:ascii="Arial Narrow" w:eastAsia="Times New Roman" w:hAnsi="Arial Narrow" w:cs="Times New Roman"/>
                <w:b/>
                <w:color w:val="000000"/>
                <w:sz w:val="22"/>
                <w:szCs w:val="22"/>
                <w:lang w:val="es-ES" w:eastAsia="es-ES"/>
              </w:rPr>
              <w:t>70% - 100%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BE36C0" w:rsidRPr="00273810" w:rsidRDefault="00BE36C0" w:rsidP="009C55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2"/>
                <w:szCs w:val="22"/>
                <w:lang w:val="es-ES" w:eastAsia="es-ES"/>
              </w:rPr>
            </w:pPr>
            <w:r w:rsidRPr="00273810">
              <w:rPr>
                <w:rFonts w:ascii="Arial Narrow" w:eastAsia="Times New Roman" w:hAnsi="Arial Narrow" w:cs="Times New Roman"/>
                <w:b/>
                <w:color w:val="000000"/>
                <w:sz w:val="22"/>
                <w:szCs w:val="22"/>
                <w:lang w:val="es-ES" w:eastAsia="es-ES"/>
              </w:rPr>
              <w:t>Eficaz</w:t>
            </w:r>
          </w:p>
        </w:tc>
      </w:tr>
    </w:tbl>
    <w:p w:rsidR="00BE36C0" w:rsidRPr="00943B2A" w:rsidRDefault="00BE36C0" w:rsidP="00BE36C0">
      <w:pPr>
        <w:pStyle w:val="Prrafodelista"/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2"/>
          <w:szCs w:val="22"/>
        </w:rPr>
      </w:pPr>
    </w:p>
    <w:p w:rsidR="00BE36C0" w:rsidRPr="00F655B1" w:rsidRDefault="00BE36C0" w:rsidP="00BE36C0">
      <w:pPr>
        <w:jc w:val="both"/>
        <w:rPr>
          <w:rFonts w:ascii="Arial Narrow" w:eastAsia="Times New Roman" w:hAnsi="Arial Narrow"/>
          <w:sz w:val="22"/>
          <w:szCs w:val="22"/>
        </w:rPr>
      </w:pPr>
      <w:r>
        <w:rPr>
          <w:rFonts w:ascii="Arial Narrow" w:eastAsia="Times New Roman" w:hAnsi="Arial Narrow"/>
          <w:sz w:val="22"/>
          <w:szCs w:val="22"/>
        </w:rPr>
        <w:t>Así también, s</w:t>
      </w:r>
      <w:r w:rsidRPr="00F655B1">
        <w:rPr>
          <w:rFonts w:ascii="Arial Narrow" w:eastAsia="Times New Roman" w:hAnsi="Arial Narrow"/>
          <w:sz w:val="22"/>
          <w:szCs w:val="22"/>
        </w:rPr>
        <w:t xml:space="preserve">e determina que el Gobierno Autónomo Municipal de Sucre, a través de las Unidades Ejecutoras, ha utilizado recursos del IDH en las áreas de educación, salud, desarrollo económico, promoción de empleo, seguridad ciudadana y gestión de riesgos, conforme a las competencias establecidas en los Decretos Supremos N° 28421 del 21 de octubre de 2005 y N° 29565 del 14 de mayo de 2008, así como en otras disposiciones legales pertinentes. </w:t>
      </w:r>
    </w:p>
    <w:p w:rsidR="00BE36C0" w:rsidRDefault="00BE36C0" w:rsidP="00BE36C0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Arial Narrow" w:eastAsia="Times New Roman" w:hAnsi="Arial Narrow" w:cs="Times New Roman"/>
          <w:sz w:val="22"/>
          <w:szCs w:val="22"/>
          <w:highlight w:val="yellow"/>
          <w:lang w:val="es-ES" w:eastAsia="es-ES"/>
        </w:rPr>
      </w:pPr>
    </w:p>
    <w:p w:rsidR="00BE36C0" w:rsidRDefault="00BE36C0" w:rsidP="00BE36C0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Arial Narrow" w:eastAsia="Times New Roman" w:hAnsi="Arial Narrow" w:cs="Times New Roman"/>
          <w:sz w:val="22"/>
          <w:szCs w:val="22"/>
          <w:highlight w:val="yellow"/>
          <w:lang w:val="es-ES" w:eastAsia="es-ES"/>
        </w:rPr>
      </w:pPr>
    </w:p>
    <w:p w:rsidR="00BE36C0" w:rsidRDefault="00BE36C0" w:rsidP="00BE36C0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Arial Narrow" w:eastAsia="Times New Roman" w:hAnsi="Arial Narrow" w:cs="Times New Roman"/>
          <w:sz w:val="22"/>
          <w:szCs w:val="22"/>
          <w:highlight w:val="yellow"/>
          <w:lang w:val="es-ES" w:eastAsia="es-ES"/>
        </w:rPr>
      </w:pPr>
    </w:p>
    <w:p w:rsidR="00BE36C0" w:rsidRDefault="00BE36C0" w:rsidP="00BE36C0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Arial Narrow" w:eastAsia="Times New Roman" w:hAnsi="Arial Narrow" w:cs="Times New Roman"/>
          <w:sz w:val="22"/>
          <w:szCs w:val="22"/>
          <w:highlight w:val="yellow"/>
          <w:lang w:val="es-ES" w:eastAsia="es-ES"/>
        </w:rPr>
      </w:pPr>
    </w:p>
    <w:p w:rsidR="00BE36C0" w:rsidRDefault="00BE36C0" w:rsidP="00BE36C0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Arial Narrow" w:eastAsia="Times New Roman" w:hAnsi="Arial Narrow" w:cs="Times New Roman"/>
          <w:sz w:val="22"/>
          <w:szCs w:val="22"/>
          <w:highlight w:val="yellow"/>
          <w:lang w:val="es-ES" w:eastAsia="es-ES"/>
        </w:rPr>
      </w:pPr>
    </w:p>
    <w:p w:rsidR="00BE36C0" w:rsidRDefault="00BE36C0" w:rsidP="00BE36C0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Arial Narrow" w:eastAsia="Times New Roman" w:hAnsi="Arial Narrow" w:cs="Times New Roman"/>
          <w:sz w:val="22"/>
          <w:szCs w:val="22"/>
          <w:highlight w:val="yellow"/>
          <w:lang w:val="es-ES" w:eastAsia="es-ES"/>
        </w:rPr>
      </w:pPr>
    </w:p>
    <w:p w:rsidR="00BE36C0" w:rsidRPr="00752311" w:rsidRDefault="00BE36C0" w:rsidP="00BE36C0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Arial Narrow" w:eastAsia="Times New Roman" w:hAnsi="Arial Narrow" w:cs="Times New Roman"/>
          <w:sz w:val="22"/>
          <w:szCs w:val="22"/>
          <w:highlight w:val="yellow"/>
          <w:lang w:val="es-ES" w:eastAsia="es-ES"/>
        </w:rPr>
      </w:pPr>
    </w:p>
    <w:p w:rsidR="00BE36C0" w:rsidRPr="00752311" w:rsidRDefault="00BE36C0" w:rsidP="00BE36C0">
      <w:pPr>
        <w:autoSpaceDE w:val="0"/>
        <w:autoSpaceDN w:val="0"/>
        <w:adjustRightInd w:val="0"/>
        <w:spacing w:before="120" w:after="120" w:line="240" w:lineRule="auto"/>
        <w:rPr>
          <w:rFonts w:ascii="Arial Narrow" w:eastAsia="Times New Roman" w:hAnsi="Arial Narrow" w:cs="Times New Roman"/>
          <w:sz w:val="22"/>
          <w:szCs w:val="22"/>
          <w:highlight w:val="yellow"/>
          <w:lang w:val="es-ES" w:eastAsia="es-ES"/>
        </w:rPr>
      </w:pPr>
    </w:p>
    <w:p w:rsidR="00506EC8" w:rsidRDefault="00BE36C0" w:rsidP="00BE36C0">
      <w:pPr>
        <w:autoSpaceDE w:val="0"/>
        <w:autoSpaceDN w:val="0"/>
        <w:adjustRightInd w:val="0"/>
        <w:spacing w:before="120" w:after="120" w:line="240" w:lineRule="auto"/>
        <w:jc w:val="right"/>
      </w:pPr>
      <w:r>
        <w:rPr>
          <w:rFonts w:ascii="Arial Narrow" w:eastAsia="Times New Roman" w:hAnsi="Arial Narrow" w:cs="Times New Roman"/>
          <w:sz w:val="22"/>
          <w:szCs w:val="22"/>
          <w:lang w:val="es-ES" w:eastAsia="es-ES"/>
        </w:rPr>
        <w:t>Sucre, febrero de 2025</w:t>
      </w:r>
    </w:p>
    <w:sectPr w:rsidR="00506EC8" w:rsidSect="00BE36C0">
      <w:headerReference w:type="default" r:id="rId8"/>
      <w:footerReference w:type="default" r:id="rId9"/>
      <w:footerReference w:type="first" r:id="rId10"/>
      <w:pgSz w:w="12240" w:h="20160" w:code="5"/>
      <w:pgMar w:top="1417" w:right="1183" w:bottom="24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0DF" w:rsidRDefault="009430DF">
      <w:pPr>
        <w:spacing w:after="0" w:line="240" w:lineRule="auto"/>
      </w:pPr>
      <w:r>
        <w:separator/>
      </w:r>
    </w:p>
  </w:endnote>
  <w:endnote w:type="continuationSeparator" w:id="0">
    <w:p w:rsidR="009430DF" w:rsidRDefault="00943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27C" w:rsidRPr="0026472E" w:rsidRDefault="009430DF" w:rsidP="00BB2D96">
    <w:pPr>
      <w:pStyle w:val="Textodeglobo"/>
      <w:ind w:left="708"/>
      <w:rPr>
        <w:rFonts w:ascii="Andalus" w:hAnsi="Andalus" w:cs="Andalus"/>
        <w:lang w:val="es-BO"/>
      </w:rPr>
    </w:pPr>
    <w:r>
      <w:rPr>
        <w:rFonts w:ascii="Andalus" w:hAnsi="Andalus" w:cs="Andalus"/>
      </w:rPr>
      <w:tab/>
    </w:r>
    <w:r>
      <w:rPr>
        <w:rFonts w:ascii="Andalus" w:hAnsi="Andalus" w:cs="Andalus"/>
      </w:rPr>
      <w:tab/>
    </w:r>
    <w:r>
      <w:rPr>
        <w:rFonts w:ascii="Andalus" w:hAnsi="Andalus" w:cs="Andalus"/>
      </w:rPr>
      <w:tab/>
    </w:r>
    <w:r>
      <w:rPr>
        <w:rFonts w:ascii="Andalus" w:hAnsi="Andalus" w:cs="Andalus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27C" w:rsidRDefault="0083527C">
    <w:pPr>
      <w:pStyle w:val="Piedepgina"/>
      <w:jc w:val="center"/>
    </w:pPr>
  </w:p>
  <w:p w:rsidR="0083527C" w:rsidRDefault="0083527C" w:rsidP="00BB2D96">
    <w:pPr>
      <w:pStyle w:val="Piedepgina"/>
      <w:tabs>
        <w:tab w:val="left" w:pos="3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0DF" w:rsidRDefault="009430DF">
      <w:pPr>
        <w:spacing w:after="0" w:line="240" w:lineRule="auto"/>
      </w:pPr>
      <w:r>
        <w:separator/>
      </w:r>
    </w:p>
  </w:footnote>
  <w:footnote w:type="continuationSeparator" w:id="0">
    <w:p w:rsidR="009430DF" w:rsidRDefault="00943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27C" w:rsidRDefault="009430DF">
    <w:pPr>
      <w:pStyle w:val="Encabezado"/>
    </w:pPr>
    <w:r w:rsidRPr="00906AB2">
      <w:rPr>
        <w:noProof/>
        <w:sz w:val="32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26DC87" wp14:editId="30E6E3D0">
              <wp:simplePos x="0" y="0"/>
              <wp:positionH relativeFrom="column">
                <wp:posOffset>3310890</wp:posOffset>
              </wp:positionH>
              <wp:positionV relativeFrom="paragraph">
                <wp:posOffset>-173991</wp:posOffset>
              </wp:positionV>
              <wp:extent cx="2956560" cy="733425"/>
              <wp:effectExtent l="0" t="0" r="0" b="9525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6560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527C" w:rsidRPr="006826B8" w:rsidRDefault="0083527C" w:rsidP="00BB2D9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F26DC8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0.7pt;margin-top:-13.7pt;width:232.8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" filled="f" stroked="f">
              <v:textbox>
                <w:txbxContent>
                  <w:p w:rsidR="00000000" w:rsidRPr="006826B8" w:rsidRDefault="00000000" w:rsidP="00BB2D96">
                    <w:pPr>
                      <w:pStyle w:val="Ttulo3Car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D0B51"/>
    <w:multiLevelType w:val="hybridMultilevel"/>
    <w:tmpl w:val="25A44F26"/>
    <w:lvl w:ilvl="0" w:tplc="565C839A">
      <w:start w:val="1"/>
      <w:numFmt w:val="bullet"/>
      <w:lvlText w:val="-"/>
      <w:lvlJc w:val="left"/>
      <w:pPr>
        <w:ind w:left="785" w:hanging="360"/>
      </w:pPr>
      <w:rPr>
        <w:rFonts w:ascii="Arial Narrow" w:eastAsiaTheme="minorHAnsi" w:hAnsi="Arial Narrow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75C605AA"/>
    <w:multiLevelType w:val="hybridMultilevel"/>
    <w:tmpl w:val="0060E0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C0"/>
    <w:rsid w:val="000A4160"/>
    <w:rsid w:val="00474C17"/>
    <w:rsid w:val="00506EC8"/>
    <w:rsid w:val="00562069"/>
    <w:rsid w:val="005F6B34"/>
    <w:rsid w:val="00700040"/>
    <w:rsid w:val="007E3936"/>
    <w:rsid w:val="0083527C"/>
    <w:rsid w:val="009430DF"/>
    <w:rsid w:val="00951B6E"/>
    <w:rsid w:val="00BE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6C0"/>
    <w:pPr>
      <w:spacing w:after="200" w:line="288" w:lineRule="auto"/>
    </w:pPr>
    <w:rPr>
      <w:rFonts w:eastAsiaTheme="minorEastAsia"/>
      <w:kern w:val="0"/>
      <w:sz w:val="21"/>
      <w:szCs w:val="21"/>
      <w:lang w:val="es-MX"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E3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3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36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3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36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36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36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36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36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3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E3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36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36C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36C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36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36C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36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36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E3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E3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E36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E3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E3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E36C0"/>
    <w:rPr>
      <w:i/>
      <w:iCs/>
      <w:color w:val="404040" w:themeColor="text1" w:themeTint="BF"/>
    </w:rPr>
  </w:style>
  <w:style w:type="paragraph" w:styleId="Prrafodelista">
    <w:name w:val="List Paragraph"/>
    <w:aliases w:val="CUADRO,MAPA,GRÁFICOS,GRAFICO,Fase,Viñetas,Titulo,List Paragraph 1,List-Bulleted"/>
    <w:basedOn w:val="Normal"/>
    <w:link w:val="PrrafodelistaCar"/>
    <w:uiPriority w:val="34"/>
    <w:qFormat/>
    <w:rsid w:val="00BE36C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E36C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E3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36C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E36C0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E3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36C0"/>
    <w:rPr>
      <w:rFonts w:eastAsiaTheme="minorEastAsia"/>
      <w:kern w:val="0"/>
      <w:sz w:val="21"/>
      <w:szCs w:val="21"/>
      <w:lang w:val="es-MX"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E3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6C0"/>
    <w:rPr>
      <w:rFonts w:eastAsiaTheme="minorEastAsia"/>
      <w:kern w:val="0"/>
      <w:sz w:val="21"/>
      <w:szCs w:val="21"/>
      <w:lang w:val="es-MX" w:eastAsia="es-MX"/>
      <w14:ligatures w14:val="none"/>
    </w:rPr>
  </w:style>
  <w:style w:type="paragraph" w:styleId="Textodeglobo">
    <w:name w:val="Balloon Text"/>
    <w:basedOn w:val="Normal"/>
    <w:link w:val="TextodegloboCar"/>
    <w:uiPriority w:val="99"/>
    <w:unhideWhenUsed/>
    <w:rsid w:val="00BE3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E36C0"/>
    <w:rPr>
      <w:rFonts w:ascii="Tahoma" w:eastAsiaTheme="minorEastAsia" w:hAnsi="Tahoma" w:cs="Tahoma"/>
      <w:kern w:val="0"/>
      <w:sz w:val="16"/>
      <w:szCs w:val="16"/>
      <w:lang w:val="es-MX" w:eastAsia="es-MX"/>
      <w14:ligatures w14:val="none"/>
    </w:rPr>
  </w:style>
  <w:style w:type="character" w:customStyle="1" w:styleId="PrrafodelistaCar">
    <w:name w:val="Párrafo de lista Car"/>
    <w:aliases w:val="CUADRO Car,MAPA Car,GRÁFICOS Car,GRAFICO Car,Fase Car,Viñetas Car,Titulo Car,List Paragraph 1 Car,List-Bulleted Car"/>
    <w:link w:val="Prrafodelista"/>
    <w:uiPriority w:val="34"/>
    <w:locked/>
    <w:rsid w:val="00BE36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6C0"/>
    <w:pPr>
      <w:spacing w:after="200" w:line="288" w:lineRule="auto"/>
    </w:pPr>
    <w:rPr>
      <w:rFonts w:eastAsiaTheme="minorEastAsia"/>
      <w:kern w:val="0"/>
      <w:sz w:val="21"/>
      <w:szCs w:val="21"/>
      <w:lang w:val="es-MX"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E3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3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36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3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36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36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36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36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36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3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E3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36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36C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36C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36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36C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36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36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E3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E3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E36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E3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E3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E36C0"/>
    <w:rPr>
      <w:i/>
      <w:iCs/>
      <w:color w:val="404040" w:themeColor="text1" w:themeTint="BF"/>
    </w:rPr>
  </w:style>
  <w:style w:type="paragraph" w:styleId="Prrafodelista">
    <w:name w:val="List Paragraph"/>
    <w:aliases w:val="CUADRO,MAPA,GRÁFICOS,GRAFICO,Fase,Viñetas,Titulo,List Paragraph 1,List-Bulleted"/>
    <w:basedOn w:val="Normal"/>
    <w:link w:val="PrrafodelistaCar"/>
    <w:uiPriority w:val="34"/>
    <w:qFormat/>
    <w:rsid w:val="00BE36C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E36C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E3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36C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E36C0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E3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36C0"/>
    <w:rPr>
      <w:rFonts w:eastAsiaTheme="minorEastAsia"/>
      <w:kern w:val="0"/>
      <w:sz w:val="21"/>
      <w:szCs w:val="21"/>
      <w:lang w:val="es-MX"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E3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6C0"/>
    <w:rPr>
      <w:rFonts w:eastAsiaTheme="minorEastAsia"/>
      <w:kern w:val="0"/>
      <w:sz w:val="21"/>
      <w:szCs w:val="21"/>
      <w:lang w:val="es-MX" w:eastAsia="es-MX"/>
      <w14:ligatures w14:val="none"/>
    </w:rPr>
  </w:style>
  <w:style w:type="paragraph" w:styleId="Textodeglobo">
    <w:name w:val="Balloon Text"/>
    <w:basedOn w:val="Normal"/>
    <w:link w:val="TextodegloboCar"/>
    <w:uiPriority w:val="99"/>
    <w:unhideWhenUsed/>
    <w:rsid w:val="00BE3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E36C0"/>
    <w:rPr>
      <w:rFonts w:ascii="Tahoma" w:eastAsiaTheme="minorEastAsia" w:hAnsi="Tahoma" w:cs="Tahoma"/>
      <w:kern w:val="0"/>
      <w:sz w:val="16"/>
      <w:szCs w:val="16"/>
      <w:lang w:val="es-MX" w:eastAsia="es-MX"/>
      <w14:ligatures w14:val="none"/>
    </w:rPr>
  </w:style>
  <w:style w:type="character" w:customStyle="1" w:styleId="PrrafodelistaCar">
    <w:name w:val="Párrafo de lista Car"/>
    <w:aliases w:val="CUADRO Car,MAPA Car,GRÁFICOS Car,GRAFICO Car,Fase Car,Viñetas Car,Titulo Car,List Paragraph 1 Car,List-Bulleted Car"/>
    <w:link w:val="Prrafodelista"/>
    <w:uiPriority w:val="34"/>
    <w:locked/>
    <w:rsid w:val="00BE3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Andrea Pérez Revollo</dc:creator>
  <cp:lastModifiedBy>MDVL</cp:lastModifiedBy>
  <cp:revision>2</cp:revision>
  <dcterms:created xsi:type="dcterms:W3CDTF">2025-03-06T22:03:00Z</dcterms:created>
  <dcterms:modified xsi:type="dcterms:W3CDTF">2025-03-06T22:03:00Z</dcterms:modified>
</cp:coreProperties>
</file>